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86592" w14:textId="4D823837" w:rsidR="004C4198" w:rsidRPr="00022E25" w:rsidRDefault="00787D87" w:rsidP="004C4198">
      <w:pPr>
        <w:ind w:right="1371"/>
        <w:rPr>
          <w:i/>
          <w:iCs/>
          <w:sz w:val="48"/>
          <w:szCs w:val="48"/>
        </w:rPr>
      </w:pPr>
      <w:r>
        <w:rPr>
          <w:noProof/>
        </w:rPr>
        <mc:AlternateContent>
          <mc:Choice Requires="wps">
            <w:drawing>
              <wp:anchor distT="0" distB="0" distL="114300" distR="114300" simplePos="0" relativeHeight="251661312" behindDoc="0" locked="0" layoutInCell="1" allowOverlap="1" wp14:anchorId="6F7B3D57" wp14:editId="5621107C">
                <wp:simplePos x="0" y="0"/>
                <wp:positionH relativeFrom="column">
                  <wp:posOffset>4637405</wp:posOffset>
                </wp:positionH>
                <wp:positionV relativeFrom="paragraph">
                  <wp:posOffset>-1863725</wp:posOffset>
                </wp:positionV>
                <wp:extent cx="2776855" cy="2393315"/>
                <wp:effectExtent l="0" t="0" r="4445" b="6985"/>
                <wp:wrapNone/>
                <wp:docPr id="1733922005"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6855" cy="2393315"/>
                        </a:xfrm>
                        <a:prstGeom prst="roundRect">
                          <a:avLst>
                            <a:gd name="adj" fmla="val 16667"/>
                          </a:avLst>
                        </a:prstGeom>
                        <a:noFill/>
                        <a:ln w="9525">
                          <a:solidFill>
                            <a:schemeClr val="accent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AADC635">
              <v:roundrect id="Rectangle: Rounded Corners 3" style="position:absolute;margin-left:365.15pt;margin-top:-146.75pt;width:218.65pt;height:18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4472c4 [3204]" arcsize="10923f" w14:anchorId="3AFE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"/>
            </w:pict>
          </mc:Fallback>
        </mc:AlternateContent>
      </w:r>
      <w:r w:rsidR="004C4198" w:rsidRPr="00B97AB6">
        <w:rPr>
          <w:rFonts w:asciiTheme="majorHAnsi" w:hAnsiTheme="majorHAnsi" w:cstheme="majorHAnsi"/>
          <w:noProof/>
        </w:rPr>
        <w:drawing>
          <wp:anchor distT="0" distB="0" distL="114300" distR="114300" simplePos="0" relativeHeight="251662336" behindDoc="0" locked="0" layoutInCell="1" allowOverlap="1" wp14:anchorId="29C6E281" wp14:editId="4DEC35F8">
            <wp:simplePos x="0" y="0"/>
            <wp:positionH relativeFrom="column">
              <wp:posOffset>4778375</wp:posOffset>
            </wp:positionH>
            <wp:positionV relativeFrom="paragraph">
              <wp:posOffset>-405765</wp:posOffset>
            </wp:positionV>
            <wp:extent cx="862965" cy="495300"/>
            <wp:effectExtent l="0" t="0" r="0" b="0"/>
            <wp:wrapNone/>
            <wp:docPr id="573185937" name="Picture 1" descr="A red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85937" name="Picture 1" descr="A red and green squar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2965" cy="495300"/>
                    </a:xfrm>
                    <a:prstGeom prst="rect">
                      <a:avLst/>
                    </a:prstGeom>
                  </pic:spPr>
                </pic:pic>
              </a:graphicData>
            </a:graphic>
            <wp14:sizeRelH relativeFrom="page">
              <wp14:pctWidth>0</wp14:pctWidth>
            </wp14:sizeRelH>
            <wp14:sizeRelV relativeFrom="page">
              <wp14:pctHeight>0</wp14:pctHeight>
            </wp14:sizeRelV>
          </wp:anchor>
        </w:drawing>
      </w:r>
      <w:r w:rsidR="004C4198" w:rsidRPr="00B97AB6">
        <w:rPr>
          <w:rFonts w:asciiTheme="majorHAnsi" w:hAnsiTheme="majorHAnsi" w:cstheme="majorHAnsi"/>
          <w:noProof/>
        </w:rPr>
        <w:drawing>
          <wp:anchor distT="0" distB="0" distL="114300" distR="114300" simplePos="0" relativeHeight="251660288" behindDoc="0" locked="0" layoutInCell="1" allowOverlap="1" wp14:anchorId="79DF5364" wp14:editId="078F1D8A">
            <wp:simplePos x="0" y="0"/>
            <wp:positionH relativeFrom="column">
              <wp:posOffset>5703861</wp:posOffset>
            </wp:positionH>
            <wp:positionV relativeFrom="paragraph">
              <wp:posOffset>-426720</wp:posOffset>
            </wp:positionV>
            <wp:extent cx="575310" cy="499745"/>
            <wp:effectExtent l="0" t="0" r="0" b="0"/>
            <wp:wrapNone/>
            <wp:docPr id="1095815609" name="Picture 1" descr="A logo with a colorful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815609" name="Picture 1" descr="A logo with a colorful design&#10;&#10;AI-generated content may be incorrect."/>
                    <pic:cNvPicPr/>
                  </pic:nvPicPr>
                  <pic:blipFill rotWithShape="1">
                    <a:blip r:embed="rId9" cstate="print">
                      <a:extLst>
                        <a:ext uri="{28A0092B-C50C-407E-A947-70E740481C1C}">
                          <a14:useLocalDpi xmlns:a14="http://schemas.microsoft.com/office/drawing/2010/main" val="0"/>
                        </a:ext>
                      </a:extLst>
                    </a:blip>
                    <a:srcRect l="19779" t="8714" r="18930" b="11459"/>
                    <a:stretch/>
                  </pic:blipFill>
                  <pic:spPr bwMode="auto">
                    <a:xfrm>
                      <a:off x="0" y="0"/>
                      <a:ext cx="57531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10ACBC8" wp14:editId="39643335">
                <wp:simplePos x="0" y="0"/>
                <wp:positionH relativeFrom="column">
                  <wp:posOffset>4521835</wp:posOffset>
                </wp:positionH>
                <wp:positionV relativeFrom="paragraph">
                  <wp:posOffset>-2017395</wp:posOffset>
                </wp:positionV>
                <wp:extent cx="1837055" cy="2393315"/>
                <wp:effectExtent l="0" t="0" r="0" b="6985"/>
                <wp:wrapNone/>
                <wp:docPr id="9490423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055" cy="2393315"/>
                        </a:xfrm>
                        <a:prstGeom prst="roundRect">
                          <a:avLst>
                            <a:gd name="adj" fmla="val 16667"/>
                          </a:avLst>
                        </a:prstGeom>
                        <a:noFill/>
                        <a:ln w="9525">
                          <a:solidFill>
                            <a:schemeClr val="accent4">
                              <a:lumMod val="75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E651BCE">
              <v:roundrect id="Rectangle: Rounded Corners 1" style="position:absolute;margin-left:356.05pt;margin-top:-158.85pt;width:144.65pt;height:18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bf8f00 [2407]" arcsize="10923f" w14:anchorId="2EA1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"/>
            </w:pict>
          </mc:Fallback>
        </mc:AlternateContent>
      </w:r>
      <w:r w:rsidR="004C4198" w:rsidRPr="005A5009">
        <w:rPr>
          <w:b/>
          <w:bCs/>
          <w:color w:val="4472C4" w:themeColor="accent1"/>
          <w:sz w:val="48"/>
          <w:szCs w:val="48"/>
        </w:rPr>
        <w:t>The 10th UCLG ASPAC CONGRESS</w:t>
      </w:r>
      <w:r w:rsidR="004C4198" w:rsidRPr="005A5009">
        <w:rPr>
          <w:sz w:val="48"/>
          <w:szCs w:val="48"/>
        </w:rPr>
        <w:br/>
      </w:r>
      <w:r w:rsidR="004C4198" w:rsidRPr="005A5009">
        <w:rPr>
          <w:i/>
          <w:iCs/>
          <w:sz w:val="28"/>
          <w:szCs w:val="28"/>
        </w:rPr>
        <w:t xml:space="preserve">Sustainable Global Self-sufficient Cities </w:t>
      </w:r>
      <w:r w:rsidR="004C4198" w:rsidRPr="00022E25">
        <w:rPr>
          <w:i/>
          <w:iCs/>
          <w:sz w:val="28"/>
          <w:szCs w:val="28"/>
        </w:rPr>
        <w:t>&amp;</w:t>
      </w:r>
      <w:r w:rsidR="004C4198" w:rsidRPr="005A5009">
        <w:rPr>
          <w:i/>
          <w:iCs/>
          <w:sz w:val="28"/>
          <w:szCs w:val="28"/>
        </w:rPr>
        <w:t xml:space="preserve"> Regions for the Future</w:t>
      </w:r>
    </w:p>
    <w:p w14:paraId="3D7D56E6" w14:textId="77777777" w:rsidR="004C4198" w:rsidRPr="005A5009" w:rsidRDefault="004C4198" w:rsidP="004C4198">
      <w:pPr>
        <w:spacing w:after="0" w:line="240" w:lineRule="auto"/>
      </w:pPr>
      <w:r>
        <w:t>24-26 September 2025 - Goyang, South Korea.</w:t>
      </w:r>
    </w:p>
    <w:p w14:paraId="0C7B8CA0" w14:textId="77777777" w:rsidR="004C4198" w:rsidRDefault="004C4198" w:rsidP="004C4198">
      <w:pPr>
        <w:spacing w:after="0" w:line="240" w:lineRule="auto"/>
      </w:pPr>
      <w:r>
        <w:t>Co-organised by United Cities and Local Governments Asia Pacific (UCLG ASPAC)</w:t>
      </w:r>
    </w:p>
    <w:p w14:paraId="7ACE8C25" w14:textId="77777777" w:rsidR="004C4198" w:rsidRDefault="004C4198" w:rsidP="004C4198">
      <w:pPr>
        <w:spacing w:after="0" w:line="240" w:lineRule="auto"/>
      </w:pPr>
      <w:r>
        <w:t>and the Goyang Special City</w:t>
      </w:r>
    </w:p>
    <w:p w14:paraId="05843957" w14:textId="77777777" w:rsidR="004C4198" w:rsidRDefault="004C4198" w:rsidP="004C4198">
      <w:pPr>
        <w:rPr>
          <w:b/>
          <w:bCs/>
        </w:rPr>
      </w:pPr>
    </w:p>
    <w:p w14:paraId="1704E99E" w14:textId="6B22CA67" w:rsidR="004C4198" w:rsidRPr="004C4198" w:rsidRDefault="004C4198" w:rsidP="004C4198">
      <w:pPr>
        <w:jc w:val="center"/>
        <w:rPr>
          <w:b/>
          <w:bCs/>
          <w:sz w:val="28"/>
          <w:szCs w:val="28"/>
        </w:rPr>
      </w:pPr>
      <w:r w:rsidRPr="004C4198">
        <w:rPr>
          <w:b/>
          <w:bCs/>
          <w:sz w:val="28"/>
          <w:szCs w:val="28"/>
        </w:rPr>
        <w:t>CALL FOR PAPERS</w:t>
      </w:r>
    </w:p>
    <w:p w14:paraId="394FB645" w14:textId="30BBBA8B" w:rsidR="004C4198" w:rsidRPr="004C4198" w:rsidRDefault="004C4198" w:rsidP="004C4198">
      <w:pPr>
        <w:jc w:val="center"/>
      </w:pPr>
      <w:r w:rsidRPr="004C4198">
        <w:rPr>
          <w:b/>
          <w:bCs/>
        </w:rPr>
        <w:t>Main Theme:</w:t>
      </w:r>
      <w:r>
        <w:rPr>
          <w:b/>
          <w:bCs/>
        </w:rPr>
        <w:t xml:space="preserve"> </w:t>
      </w:r>
      <w:r w:rsidRPr="004C4198">
        <w:rPr>
          <w:b/>
          <w:bCs/>
        </w:rPr>
        <w:t>Sustainable Global Self-Sufficient Cities and Regions for the Future</w:t>
      </w:r>
    </w:p>
    <w:p w14:paraId="23657A66" w14:textId="77777777" w:rsidR="004C4198" w:rsidRPr="004C4198" w:rsidRDefault="004C4198" w:rsidP="004C4198">
      <w:pPr>
        <w:pStyle w:val="Heading2"/>
      </w:pPr>
      <w:r w:rsidRPr="004C4198">
        <w:t>Join the Call for Papers</w:t>
      </w:r>
    </w:p>
    <w:p w14:paraId="07155B32" w14:textId="2AB09C8B" w:rsidR="004C4198" w:rsidRPr="004C4198" w:rsidRDefault="004C4198" w:rsidP="004C4198">
      <w:r w:rsidRPr="004C4198">
        <w:t xml:space="preserve">The United Cities and Local Governments Asia-Pacific (UCLG ASPAC) invites </w:t>
      </w:r>
      <w:r w:rsidRPr="004C4198">
        <w:rPr>
          <w:b/>
          <w:bCs/>
        </w:rPr>
        <w:t>academics, researchers, practitioners, and policymakers</w:t>
      </w:r>
      <w:r w:rsidRPr="004C4198">
        <w:t xml:space="preserve"> to submit their original research and case studies for presentation at the </w:t>
      </w:r>
      <w:r w:rsidRPr="004C4198">
        <w:rPr>
          <w:b/>
          <w:bCs/>
        </w:rPr>
        <w:t>10th UCLG ASPAC Congress</w:t>
      </w:r>
      <w:r w:rsidRPr="004C4198">
        <w:t>. This is an opportunity to contribute to key discussions on urban sustainability, governance, and innovation while engaging with global experts and decision-makers.</w:t>
      </w:r>
    </w:p>
    <w:p w14:paraId="59585339" w14:textId="77777777" w:rsidR="004C4198" w:rsidRPr="004C4198" w:rsidRDefault="004C4198" w:rsidP="004C4198">
      <w:pPr>
        <w:numPr>
          <w:ilvl w:val="0"/>
          <w:numId w:val="14"/>
        </w:numPr>
      </w:pPr>
      <w:r w:rsidRPr="004C4198">
        <w:rPr>
          <w:b/>
          <w:bCs/>
        </w:rPr>
        <w:t>Who can participate?</w:t>
      </w:r>
      <w:r w:rsidRPr="004C4198">
        <w:br/>
        <w:t>Researchers, urban planners, policymakers, academics, and practitioners working in the fields of urban development, governance, sustainability, and related disciplines.</w:t>
      </w:r>
    </w:p>
    <w:p w14:paraId="2C7D852E" w14:textId="77777777" w:rsidR="004C4198" w:rsidRPr="004C4198" w:rsidRDefault="004C4198" w:rsidP="004C4198">
      <w:pPr>
        <w:numPr>
          <w:ilvl w:val="0"/>
          <w:numId w:val="14"/>
        </w:numPr>
      </w:pPr>
      <w:r w:rsidRPr="004C4198">
        <w:rPr>
          <w:b/>
          <w:bCs/>
        </w:rPr>
        <w:t>Why submit?</w:t>
      </w:r>
    </w:p>
    <w:p w14:paraId="666AF686" w14:textId="77777777" w:rsidR="004C4198" w:rsidRPr="004C4198" w:rsidRDefault="004C4198" w:rsidP="004C4198">
      <w:pPr>
        <w:numPr>
          <w:ilvl w:val="1"/>
          <w:numId w:val="14"/>
        </w:numPr>
      </w:pPr>
      <w:r w:rsidRPr="004C4198">
        <w:t>Gain international recognition by presenting your research at a prestigious forum.</w:t>
      </w:r>
    </w:p>
    <w:p w14:paraId="30805117" w14:textId="77777777" w:rsidR="004C4198" w:rsidRPr="004C4198" w:rsidRDefault="004C4198" w:rsidP="004C4198">
      <w:pPr>
        <w:numPr>
          <w:ilvl w:val="1"/>
          <w:numId w:val="14"/>
        </w:numPr>
      </w:pPr>
      <w:r w:rsidRPr="004C4198">
        <w:t>Contribute to evidence-based policymaking and innovative urban solutions.</w:t>
      </w:r>
    </w:p>
    <w:p w14:paraId="45B3B419" w14:textId="77777777" w:rsidR="004C4198" w:rsidRPr="004C4198" w:rsidRDefault="004C4198" w:rsidP="004C4198">
      <w:pPr>
        <w:numPr>
          <w:ilvl w:val="1"/>
          <w:numId w:val="14"/>
        </w:numPr>
      </w:pPr>
      <w:r w:rsidRPr="004C4198">
        <w:t xml:space="preserve">Have your work included in the </w:t>
      </w:r>
      <w:r w:rsidRPr="004C4198">
        <w:rPr>
          <w:b/>
          <w:bCs/>
        </w:rPr>
        <w:t>official conference proceedings</w:t>
      </w:r>
      <w:r w:rsidRPr="004C4198">
        <w:t>, which will be shared with local government authorities, international organisations, and urban development institutions.</w:t>
      </w:r>
    </w:p>
    <w:p w14:paraId="1A110DA2" w14:textId="77777777" w:rsidR="004C4198" w:rsidRPr="004C4198" w:rsidRDefault="004C4198" w:rsidP="004C4198">
      <w:pPr>
        <w:numPr>
          <w:ilvl w:val="1"/>
          <w:numId w:val="14"/>
        </w:numPr>
      </w:pPr>
      <w:r w:rsidRPr="004C4198">
        <w:t xml:space="preserve">Selected outstanding papers may be considered for publication in </w:t>
      </w:r>
      <w:r w:rsidRPr="004C4198">
        <w:rPr>
          <w:b/>
          <w:bCs/>
        </w:rPr>
        <w:t>partner academic journals or policy briefs</w:t>
      </w:r>
      <w:r w:rsidRPr="004C4198">
        <w:t>.</w:t>
      </w:r>
    </w:p>
    <w:p w14:paraId="1B44BE92" w14:textId="77777777" w:rsidR="004C4198" w:rsidRPr="004C4198" w:rsidRDefault="004C4198" w:rsidP="004C4198">
      <w:pPr>
        <w:numPr>
          <w:ilvl w:val="0"/>
          <w:numId w:val="14"/>
        </w:numPr>
      </w:pPr>
      <w:r w:rsidRPr="004C4198">
        <w:rPr>
          <w:b/>
          <w:bCs/>
        </w:rPr>
        <w:t>How to submit?</w:t>
      </w:r>
    </w:p>
    <w:p w14:paraId="374F9BCA" w14:textId="6580A2B7" w:rsidR="004C4198" w:rsidRPr="004C4198" w:rsidRDefault="004C4198" w:rsidP="004C4198">
      <w:pPr>
        <w:numPr>
          <w:ilvl w:val="1"/>
          <w:numId w:val="14"/>
        </w:numPr>
      </w:pPr>
      <w:r w:rsidRPr="004C4198">
        <w:t xml:space="preserve">Submit an abstract (maximum </w:t>
      </w:r>
      <w:r w:rsidRPr="004C4198">
        <w:rPr>
          <w:b/>
          <w:bCs/>
        </w:rPr>
        <w:t>300 words</w:t>
      </w:r>
      <w:r w:rsidRPr="004C4198">
        <w:t>) outlining your research, methodology, key findings, and relevance to the Congress themes</w:t>
      </w:r>
      <w:r w:rsidR="00FD5A4C">
        <w:t xml:space="preserve"> before 18 July 2025</w:t>
      </w:r>
    </w:p>
    <w:p w14:paraId="0418696E" w14:textId="77777777" w:rsidR="004C4198" w:rsidRPr="004C4198" w:rsidRDefault="004C4198" w:rsidP="004C4198">
      <w:pPr>
        <w:numPr>
          <w:ilvl w:val="1"/>
          <w:numId w:val="14"/>
        </w:numPr>
      </w:pPr>
      <w:r w:rsidRPr="004C4198">
        <w:t>If accepted, you will be required to submit a full paper following the provided guidelines.</w:t>
      </w:r>
    </w:p>
    <w:p w14:paraId="37915AA8" w14:textId="4ADFCA5C" w:rsidR="004C4198" w:rsidRDefault="004C4198" w:rsidP="004C4198">
      <w:r w:rsidRPr="004C4198">
        <w:t>For more details on submission guidelines, deadlines, and review criteria, please contact</w:t>
      </w:r>
      <w:r w:rsidR="007C3C65">
        <w:t xml:space="preserve"> Mr Agung Zulhatta, </w:t>
      </w:r>
      <w:hyperlink r:id="rId10" w:history="1">
        <w:r w:rsidR="007C3C65" w:rsidRPr="00FC43F7">
          <w:rPr>
            <w:rStyle w:val="Hyperlink"/>
          </w:rPr>
          <w:t>agung.zulhatta@uclg-aspac.org</w:t>
        </w:r>
      </w:hyperlink>
      <w:r w:rsidRPr="004C4198">
        <w:t>.</w:t>
      </w:r>
    </w:p>
    <w:p w14:paraId="6446CE51" w14:textId="26B93A09" w:rsidR="00C07B81" w:rsidRDefault="00C07B81" w:rsidP="004C4198">
      <w:r>
        <w:t xml:space="preserve">For abstract submission please fill the form here: </w:t>
      </w:r>
      <w:hyperlink r:id="rId11" w:history="1">
        <w:r w:rsidRPr="000935E8">
          <w:rPr>
            <w:rStyle w:val="Hyperlink"/>
          </w:rPr>
          <w:t>https://www.surveymonkey.com/r/CFP2025-Congress</w:t>
        </w:r>
      </w:hyperlink>
    </w:p>
    <w:p w14:paraId="34E5FB97" w14:textId="77777777" w:rsidR="00C07B81" w:rsidRPr="004C4198" w:rsidRDefault="00C07B81" w:rsidP="004C4198"/>
    <w:p w14:paraId="361F7725" w14:textId="77777777" w:rsidR="004C4198" w:rsidRDefault="004C4198" w:rsidP="004C4198">
      <w:pPr>
        <w:rPr>
          <w:b/>
          <w:bCs/>
        </w:rPr>
      </w:pPr>
    </w:p>
    <w:p w14:paraId="55C5E16A" w14:textId="77777777" w:rsidR="004C4198" w:rsidRDefault="004C4198" w:rsidP="004C4198">
      <w:pPr>
        <w:rPr>
          <w:b/>
          <w:bCs/>
        </w:rPr>
      </w:pPr>
    </w:p>
    <w:p w14:paraId="05B2F756" w14:textId="16FAFF43" w:rsidR="004C4198" w:rsidRPr="004C4198" w:rsidRDefault="004C4198" w:rsidP="004C4198">
      <w:pPr>
        <w:pStyle w:val="Heading2"/>
      </w:pPr>
      <w:r w:rsidRPr="004C4198">
        <w:lastRenderedPageBreak/>
        <w:t>About the Congress</w:t>
      </w:r>
    </w:p>
    <w:p w14:paraId="3DC762A7" w14:textId="77777777" w:rsidR="004C4198" w:rsidRPr="004C4198" w:rsidRDefault="004C4198" w:rsidP="004C4198">
      <w:r w:rsidRPr="004C4198">
        <w:t>The United Cities and Local Governments Asia-Pacific (UCLG ASPAC) Congress is a flagship event held every two years, bringing together local governments, policymakers, and urban development experts from across the Asia-Pacific region. It serves as a key platform for cities to collaborate, exchange knowledge, and address the most pressing challenges in urban governance, sustainability, and resilience.</w:t>
      </w:r>
    </w:p>
    <w:p w14:paraId="2520744A" w14:textId="77777777" w:rsidR="004C4198" w:rsidRPr="004C4198" w:rsidRDefault="004C4198" w:rsidP="004C4198">
      <w:r w:rsidRPr="004C4198">
        <w:t>As the largest regional section of United Cities and Local Governments (UCLG), UCLG ASPAC plays a vital role in advocating for local governance, decentralisation, and sustainable urban development. The Congress provides an opportunity for leaders, practitioners, and stakeholders to shape policies and strategies that promote inclusive, innovative, and future-ready cities.</w:t>
      </w:r>
    </w:p>
    <w:p w14:paraId="691A09A1" w14:textId="77777777" w:rsidR="004C4198" w:rsidRPr="004C4198" w:rsidRDefault="004C4198" w:rsidP="004C4198">
      <w:r w:rsidRPr="004C4198">
        <w:t>Cities and regions across Asia and the Pacific are at the forefront of global transformation. While urbanisation drives economic growth and innovation, it also presents complex challenges such as climate change, infrastructure demands, social inequalities, and resource management. The UCLG ASPAC Congress is a space where local governments can:</w:t>
      </w:r>
    </w:p>
    <w:p w14:paraId="26F06205" w14:textId="77777777" w:rsidR="004C4198" w:rsidRPr="004C4198" w:rsidRDefault="004C4198" w:rsidP="004C4198">
      <w:pPr>
        <w:numPr>
          <w:ilvl w:val="0"/>
          <w:numId w:val="13"/>
        </w:numPr>
      </w:pPr>
      <w:r w:rsidRPr="004C4198">
        <w:t>Share best practices and innovative solutions for sustainable urban development.</w:t>
      </w:r>
    </w:p>
    <w:p w14:paraId="6EED2F4F" w14:textId="77777777" w:rsidR="004C4198" w:rsidRPr="004C4198" w:rsidRDefault="004C4198" w:rsidP="004C4198">
      <w:pPr>
        <w:numPr>
          <w:ilvl w:val="0"/>
          <w:numId w:val="13"/>
        </w:numPr>
      </w:pPr>
      <w:r w:rsidRPr="004C4198">
        <w:t>Strengthen city-to-city cooperation for policy exchange and collaboration.</w:t>
      </w:r>
    </w:p>
    <w:p w14:paraId="1C3CCD35" w14:textId="77777777" w:rsidR="004C4198" w:rsidRPr="004C4198" w:rsidRDefault="004C4198" w:rsidP="004C4198">
      <w:pPr>
        <w:numPr>
          <w:ilvl w:val="0"/>
          <w:numId w:val="13"/>
        </w:numPr>
      </w:pPr>
      <w:r w:rsidRPr="004C4198">
        <w:t>Engage with experts, institutions, and development partners on global urban trends.</w:t>
      </w:r>
    </w:p>
    <w:p w14:paraId="6399261F" w14:textId="77777777" w:rsidR="004C4198" w:rsidRPr="004C4198" w:rsidRDefault="004C4198" w:rsidP="004C4198">
      <w:pPr>
        <w:numPr>
          <w:ilvl w:val="0"/>
          <w:numId w:val="13"/>
        </w:numPr>
      </w:pPr>
      <w:r w:rsidRPr="004C4198">
        <w:t>Enhance the role of local governments in achieving the Sustainable Development Goals (SDGs) and global urban agendas.</w:t>
      </w:r>
    </w:p>
    <w:p w14:paraId="05585220" w14:textId="38FEFA80" w:rsidR="004C4198" w:rsidRPr="004C4198" w:rsidRDefault="004C4198" w:rsidP="004C4198"/>
    <w:p w14:paraId="2B1CF846" w14:textId="77777777" w:rsidR="004C4198" w:rsidRPr="004C4198" w:rsidRDefault="004C4198" w:rsidP="004C4198">
      <w:pPr>
        <w:pStyle w:val="Heading2"/>
      </w:pPr>
      <w:r w:rsidRPr="004C4198">
        <w:t>The 10th UCLG ASPAC Congress – Goyang 2025</w:t>
      </w:r>
    </w:p>
    <w:p w14:paraId="116D70D8" w14:textId="77777777" w:rsidR="004C4198" w:rsidRPr="004C4198" w:rsidRDefault="004C4198" w:rsidP="004C4198">
      <w:r w:rsidRPr="004C4198">
        <w:t xml:space="preserve">Against this backdrop, the </w:t>
      </w:r>
      <w:r w:rsidRPr="004C4198">
        <w:rPr>
          <w:b/>
          <w:bCs/>
        </w:rPr>
        <w:t>10th UCLG ASPAC Congress</w:t>
      </w:r>
      <w:r w:rsidRPr="004C4198">
        <w:t xml:space="preserve"> will convene city leaders, policymakers, and experts to explore innovative strategies for self-sufficient and future-ready cities. Under the theme </w:t>
      </w:r>
      <w:r w:rsidRPr="004C4198">
        <w:rPr>
          <w:b/>
          <w:bCs/>
        </w:rPr>
        <w:t>"Sustainable Global Self-Sufficient Cities and Regions for the Future,"</w:t>
      </w:r>
      <w:r w:rsidRPr="004C4198">
        <w:t xml:space="preserve"> the Congress will focus on practical solutions that empower cities to become:</w:t>
      </w:r>
    </w:p>
    <w:p w14:paraId="2E8ED906" w14:textId="77777777" w:rsidR="004C4198" w:rsidRPr="004C4198" w:rsidRDefault="004C4198" w:rsidP="004C4198">
      <w:pPr>
        <w:numPr>
          <w:ilvl w:val="0"/>
          <w:numId w:val="15"/>
        </w:numPr>
      </w:pPr>
      <w:r w:rsidRPr="004C4198">
        <w:rPr>
          <w:b/>
          <w:bCs/>
        </w:rPr>
        <w:t>Economically independent</w:t>
      </w:r>
      <w:r w:rsidRPr="004C4198">
        <w:t xml:space="preserve"> through job creation and sustainable local economies.</w:t>
      </w:r>
    </w:p>
    <w:p w14:paraId="39288AC1" w14:textId="77777777" w:rsidR="004C4198" w:rsidRPr="004C4198" w:rsidRDefault="004C4198" w:rsidP="004C4198">
      <w:pPr>
        <w:numPr>
          <w:ilvl w:val="0"/>
          <w:numId w:val="15"/>
        </w:numPr>
      </w:pPr>
      <w:r w:rsidRPr="004C4198">
        <w:rPr>
          <w:b/>
          <w:bCs/>
        </w:rPr>
        <w:t>Environmentally resilient</w:t>
      </w:r>
      <w:r w:rsidRPr="004C4198">
        <w:t xml:space="preserve"> by adopting clean energy and smart urban solutions.</w:t>
      </w:r>
    </w:p>
    <w:p w14:paraId="635FE434" w14:textId="77777777" w:rsidR="004C4198" w:rsidRPr="004C4198" w:rsidRDefault="004C4198" w:rsidP="004C4198">
      <w:pPr>
        <w:numPr>
          <w:ilvl w:val="0"/>
          <w:numId w:val="15"/>
        </w:numPr>
      </w:pPr>
      <w:r w:rsidRPr="004C4198">
        <w:rPr>
          <w:b/>
          <w:bCs/>
        </w:rPr>
        <w:t>Socially inclusive</w:t>
      </w:r>
      <w:r w:rsidRPr="004C4198">
        <w:t xml:space="preserve"> by prioritising youth leadership, family-friendly policies, and equitable urban development.</w:t>
      </w:r>
    </w:p>
    <w:p w14:paraId="70C293C7" w14:textId="77777777" w:rsidR="004C4198" w:rsidRPr="004C4198" w:rsidRDefault="004C4198" w:rsidP="004C4198">
      <w:r w:rsidRPr="004C4198">
        <w:t xml:space="preserve">The Congress is co-organised by UCLG ASPAC and Goyang Special City and will take place from </w:t>
      </w:r>
      <w:r w:rsidRPr="004C4198">
        <w:rPr>
          <w:b/>
          <w:bCs/>
        </w:rPr>
        <w:t>24-26 September 2025 at KINTEX, Goyang, South Korea</w:t>
      </w:r>
      <w:r w:rsidRPr="004C4198">
        <w:t>. As a global model city for urban innovation and sustainable development, Goyang will provide the ideal setting for collaborative discussions, knowledge exchange, and regional partnerships.</w:t>
      </w:r>
    </w:p>
    <w:p w14:paraId="73AC20EA" w14:textId="77777777" w:rsidR="004C4198" w:rsidRPr="004C4198" w:rsidRDefault="004C4198" w:rsidP="004C4198">
      <w:r w:rsidRPr="004C4198">
        <w:t>Bringing together mayors, city officials, urban planners, private sector leaders, and international organisations, this edition of the UCLG ASPAC Congress will offer a platform for dialogue, cooperation, and strategic planning to shape the future of cities in the Asia-Pacific region.</w:t>
      </w:r>
    </w:p>
    <w:p w14:paraId="2D77B94E" w14:textId="152C4BE6" w:rsidR="004C4198" w:rsidRPr="004C4198" w:rsidRDefault="004C4198" w:rsidP="004C4198"/>
    <w:p w14:paraId="650CA865" w14:textId="77777777" w:rsidR="004C4198" w:rsidRPr="004C4198" w:rsidRDefault="004C4198" w:rsidP="004C4198">
      <w:pPr>
        <w:pStyle w:val="Heading2"/>
      </w:pPr>
      <w:r w:rsidRPr="004C4198">
        <w:lastRenderedPageBreak/>
        <w:t>Call for Papers: Objectives</w:t>
      </w:r>
    </w:p>
    <w:p w14:paraId="31A51A56" w14:textId="77777777" w:rsidR="004C4198" w:rsidRPr="004C4198" w:rsidRDefault="004C4198" w:rsidP="004C4198">
      <w:r w:rsidRPr="004C4198">
        <w:t>The Call for Papers aims to achieve the following objectives:</w:t>
      </w:r>
    </w:p>
    <w:p w14:paraId="25F02172" w14:textId="77777777" w:rsidR="004C4198" w:rsidRPr="004C4198" w:rsidRDefault="004C4198" w:rsidP="004C4198">
      <w:pPr>
        <w:numPr>
          <w:ilvl w:val="0"/>
          <w:numId w:val="16"/>
        </w:numPr>
      </w:pPr>
      <w:r w:rsidRPr="004C4198">
        <w:rPr>
          <w:b/>
          <w:bCs/>
        </w:rPr>
        <w:t>Enhancing Evidence-Based Urban Governance:</w:t>
      </w:r>
      <w:r w:rsidRPr="004C4198">
        <w:t xml:space="preserve"> Encourage research that provides data-driven insights, policy recommendations, and innovative strategies to support local governments in making informed decisions that promote resilient and sustainable urban development.</w:t>
      </w:r>
    </w:p>
    <w:p w14:paraId="083FE1D7" w14:textId="77777777" w:rsidR="004C4198" w:rsidRPr="004C4198" w:rsidRDefault="004C4198" w:rsidP="004C4198">
      <w:pPr>
        <w:numPr>
          <w:ilvl w:val="0"/>
          <w:numId w:val="16"/>
        </w:numPr>
      </w:pPr>
      <w:r w:rsidRPr="004C4198">
        <w:rPr>
          <w:b/>
          <w:bCs/>
        </w:rPr>
        <w:t>Strengthening Knowledge Exchange and Collaboration:</w:t>
      </w:r>
      <w:r w:rsidRPr="004C4198">
        <w:t xml:space="preserve"> Foster interdisciplinary dialogue and partnerships between researchers, policymakers, and urban practitioners to share best practices, experiences, and case studies that address critical urban challenges across the Asia-Pacific region.</w:t>
      </w:r>
    </w:p>
    <w:p w14:paraId="15C7BD44" w14:textId="77777777" w:rsidR="004C4198" w:rsidRPr="004C4198" w:rsidRDefault="004C4198" w:rsidP="004C4198">
      <w:pPr>
        <w:numPr>
          <w:ilvl w:val="0"/>
          <w:numId w:val="16"/>
        </w:numPr>
      </w:pPr>
      <w:r w:rsidRPr="004C4198">
        <w:rPr>
          <w:b/>
          <w:bCs/>
        </w:rPr>
        <w:t>Promoting Innovation for Sustainable Cities:</w:t>
      </w:r>
      <w:r w:rsidRPr="004C4198">
        <w:t xml:space="preserve"> Highlight emerging technologies, forward-thinking policies, and innovative urban solutions that enhance economic opportunities, social inclusion, and environmental sustainability in rapidly growing urban areas.</w:t>
      </w:r>
    </w:p>
    <w:p w14:paraId="2AB48A1C" w14:textId="17538300" w:rsidR="004C4198" w:rsidRPr="004C4198" w:rsidRDefault="004C4198" w:rsidP="004C4198"/>
    <w:p w14:paraId="6B2314AF" w14:textId="77777777" w:rsidR="004C4198" w:rsidRPr="004C4198" w:rsidRDefault="004C4198" w:rsidP="004C4198">
      <w:pPr>
        <w:pStyle w:val="Heading2"/>
      </w:pPr>
      <w:r w:rsidRPr="004C4198">
        <w:t>Output</w:t>
      </w:r>
    </w:p>
    <w:p w14:paraId="3BDD6679" w14:textId="77777777" w:rsidR="004C4198" w:rsidRPr="004C4198" w:rsidRDefault="004C4198" w:rsidP="004C4198">
      <w:r w:rsidRPr="004C4198">
        <w:t xml:space="preserve">All accepted papers will be presented in dedicated sub-forum sessions at the Congress. Authors will have the opportunity to present their research before </w:t>
      </w:r>
      <w:r w:rsidRPr="004C4198">
        <w:rPr>
          <w:b/>
          <w:bCs/>
        </w:rPr>
        <w:t>local government authorities, international agencies, academics, and urban professionals</w:t>
      </w:r>
      <w:r w:rsidRPr="004C4198">
        <w:t xml:space="preserve"> from across the Asia-Pacific region.</w:t>
      </w:r>
    </w:p>
    <w:p w14:paraId="37B11530" w14:textId="77777777" w:rsidR="004C4198" w:rsidRPr="004C4198" w:rsidRDefault="004C4198" w:rsidP="004C4198">
      <w:r w:rsidRPr="004C4198">
        <w:t xml:space="preserve">Selected papers will be compiled into </w:t>
      </w:r>
      <w:r w:rsidRPr="004C4198">
        <w:rPr>
          <w:b/>
          <w:bCs/>
        </w:rPr>
        <w:t>conference proceedings</w:t>
      </w:r>
      <w:r w:rsidRPr="004C4198">
        <w:t>, which will be published and disseminated to Congress participants, policymakers, and urban development institutions. The insights gathered from these papers will also contribute to recommendations for future urban policies and collaborative regional initiatives.</w:t>
      </w:r>
    </w:p>
    <w:p w14:paraId="78783F73" w14:textId="77777777" w:rsidR="004C4198" w:rsidRDefault="004C4198" w:rsidP="004C4198">
      <w:r w:rsidRPr="004C4198">
        <w:t xml:space="preserve">In addition, outstanding papers may be considered for publication in </w:t>
      </w:r>
      <w:r w:rsidRPr="004C4198">
        <w:rPr>
          <w:b/>
          <w:bCs/>
        </w:rPr>
        <w:t>partner academic journals or policy briefs</w:t>
      </w:r>
      <w:r w:rsidRPr="004C4198">
        <w:t xml:space="preserve"> aimed at informing decision-makers at the local and international levels.</w:t>
      </w:r>
    </w:p>
    <w:p w14:paraId="4DA32E89" w14:textId="77777777" w:rsidR="004C4198" w:rsidRDefault="004C4198" w:rsidP="004C4198"/>
    <w:p w14:paraId="76628D55" w14:textId="77777777" w:rsidR="004C4198" w:rsidRPr="004C4198" w:rsidRDefault="004C4198" w:rsidP="004C4198">
      <w:pPr>
        <w:pStyle w:val="Heading2"/>
      </w:pPr>
      <w:r w:rsidRPr="004C4198">
        <w:t>Sub-Themes for Paper Submission</w:t>
      </w:r>
    </w:p>
    <w:p w14:paraId="3DD4E9F1" w14:textId="77777777" w:rsidR="004C4198" w:rsidRPr="004C4198" w:rsidRDefault="004C4198" w:rsidP="004C4198">
      <w:r w:rsidRPr="004C4198">
        <w:t>Researchers are encouraged to submit papers related to one of the following sub-themes:</w:t>
      </w:r>
    </w:p>
    <w:p w14:paraId="2C1FAA54" w14:textId="77777777" w:rsidR="004C4198" w:rsidRPr="004C4198" w:rsidRDefault="004C4198" w:rsidP="004C4198">
      <w:pPr>
        <w:numPr>
          <w:ilvl w:val="0"/>
          <w:numId w:val="18"/>
        </w:numPr>
      </w:pPr>
      <w:r w:rsidRPr="004C4198">
        <w:rPr>
          <w:b/>
          <w:bCs/>
        </w:rPr>
        <w:t>Job Creation and Economic Resilience</w:t>
      </w:r>
    </w:p>
    <w:p w14:paraId="55D621F2" w14:textId="77777777" w:rsidR="004C4198" w:rsidRPr="004C4198" w:rsidRDefault="004C4198" w:rsidP="00787D87">
      <w:pPr>
        <w:pStyle w:val="ListParagraph"/>
        <w:numPr>
          <w:ilvl w:val="0"/>
          <w:numId w:val="27"/>
        </w:numPr>
      </w:pPr>
      <w:r w:rsidRPr="004C4198">
        <w:t>Strategies for employment generation in urban areas.</w:t>
      </w:r>
    </w:p>
    <w:p w14:paraId="12E11B0E" w14:textId="77777777" w:rsidR="004C4198" w:rsidRPr="004C4198" w:rsidRDefault="004C4198" w:rsidP="00787D87">
      <w:pPr>
        <w:pStyle w:val="ListParagraph"/>
        <w:numPr>
          <w:ilvl w:val="0"/>
          <w:numId w:val="27"/>
        </w:numPr>
      </w:pPr>
      <w:r w:rsidRPr="004C4198">
        <w:t>Supporting small businesses and entrepreneurship in cities.</w:t>
      </w:r>
    </w:p>
    <w:p w14:paraId="60D7AF44" w14:textId="77777777" w:rsidR="004C4198" w:rsidRPr="004C4198" w:rsidRDefault="004C4198" w:rsidP="00787D87">
      <w:pPr>
        <w:pStyle w:val="ListParagraph"/>
        <w:numPr>
          <w:ilvl w:val="0"/>
          <w:numId w:val="27"/>
        </w:numPr>
      </w:pPr>
      <w:r w:rsidRPr="004C4198">
        <w:t>Economic diversification and innovation for self-sufficient urban economies.</w:t>
      </w:r>
    </w:p>
    <w:p w14:paraId="4D6BB2F9" w14:textId="77777777" w:rsidR="004C4198" w:rsidRPr="004C4198" w:rsidRDefault="004C4198" w:rsidP="004C4198">
      <w:pPr>
        <w:numPr>
          <w:ilvl w:val="0"/>
          <w:numId w:val="18"/>
        </w:numPr>
      </w:pPr>
      <w:r w:rsidRPr="004C4198">
        <w:rPr>
          <w:b/>
          <w:bCs/>
        </w:rPr>
        <w:t>Youth Leadership in Urban Governance</w:t>
      </w:r>
    </w:p>
    <w:p w14:paraId="37BDCA2E" w14:textId="77777777" w:rsidR="004C4198" w:rsidRPr="004C4198" w:rsidRDefault="004C4198" w:rsidP="00787D87">
      <w:pPr>
        <w:pStyle w:val="ListParagraph"/>
        <w:numPr>
          <w:ilvl w:val="0"/>
          <w:numId w:val="27"/>
        </w:numPr>
      </w:pPr>
      <w:r w:rsidRPr="004C4198">
        <w:t>The role of young people in decision-making processes.</w:t>
      </w:r>
    </w:p>
    <w:p w14:paraId="07022ABE" w14:textId="77777777" w:rsidR="004C4198" w:rsidRPr="004C4198" w:rsidRDefault="004C4198" w:rsidP="00787D87">
      <w:pPr>
        <w:pStyle w:val="ListParagraph"/>
        <w:numPr>
          <w:ilvl w:val="0"/>
          <w:numId w:val="27"/>
        </w:numPr>
      </w:pPr>
      <w:r w:rsidRPr="004C4198">
        <w:t>Youth-led urban innovation and civic engagement.</w:t>
      </w:r>
    </w:p>
    <w:p w14:paraId="792E814E" w14:textId="77777777" w:rsidR="004C4198" w:rsidRPr="004C4198" w:rsidRDefault="004C4198" w:rsidP="00787D87">
      <w:pPr>
        <w:pStyle w:val="ListParagraph"/>
        <w:numPr>
          <w:ilvl w:val="0"/>
          <w:numId w:val="27"/>
        </w:numPr>
      </w:pPr>
      <w:r w:rsidRPr="004C4198">
        <w:t>Strategies for empowering young leaders in urban governance.</w:t>
      </w:r>
    </w:p>
    <w:p w14:paraId="082375B7" w14:textId="77777777" w:rsidR="004C4198" w:rsidRPr="004C4198" w:rsidRDefault="004C4198" w:rsidP="004C4198">
      <w:pPr>
        <w:numPr>
          <w:ilvl w:val="0"/>
          <w:numId w:val="18"/>
        </w:numPr>
      </w:pPr>
      <w:r w:rsidRPr="004C4198">
        <w:rPr>
          <w:b/>
          <w:bCs/>
        </w:rPr>
        <w:t>Energy Self-Sufficiency and Urban Sustainability</w:t>
      </w:r>
    </w:p>
    <w:p w14:paraId="5367A201" w14:textId="77777777" w:rsidR="004C4198" w:rsidRPr="004C4198" w:rsidRDefault="004C4198" w:rsidP="00787D87">
      <w:pPr>
        <w:pStyle w:val="ListParagraph"/>
        <w:numPr>
          <w:ilvl w:val="0"/>
          <w:numId w:val="27"/>
        </w:numPr>
      </w:pPr>
      <w:r w:rsidRPr="004C4198">
        <w:t>Renewable energy solutions for cities.</w:t>
      </w:r>
    </w:p>
    <w:p w14:paraId="49BEE6DD" w14:textId="77777777" w:rsidR="004C4198" w:rsidRPr="004C4198" w:rsidRDefault="004C4198" w:rsidP="00787D87">
      <w:pPr>
        <w:pStyle w:val="ListParagraph"/>
        <w:numPr>
          <w:ilvl w:val="0"/>
          <w:numId w:val="27"/>
        </w:numPr>
      </w:pPr>
      <w:r w:rsidRPr="004C4198">
        <w:lastRenderedPageBreak/>
        <w:t>Smart grid and microgrid technologies for sustainable urban energy.</w:t>
      </w:r>
    </w:p>
    <w:p w14:paraId="3BAB98B5" w14:textId="77777777" w:rsidR="004C4198" w:rsidRPr="004C4198" w:rsidRDefault="004C4198" w:rsidP="00787D87">
      <w:pPr>
        <w:pStyle w:val="ListParagraph"/>
        <w:numPr>
          <w:ilvl w:val="0"/>
          <w:numId w:val="27"/>
        </w:numPr>
      </w:pPr>
      <w:r w:rsidRPr="004C4198">
        <w:t>Policies for reducing urban carbon footprints.</w:t>
      </w:r>
    </w:p>
    <w:p w14:paraId="410E2B39" w14:textId="77777777" w:rsidR="004C4198" w:rsidRPr="004C4198" w:rsidRDefault="004C4198" w:rsidP="004C4198">
      <w:pPr>
        <w:numPr>
          <w:ilvl w:val="0"/>
          <w:numId w:val="18"/>
        </w:numPr>
      </w:pPr>
      <w:r w:rsidRPr="004C4198">
        <w:rPr>
          <w:b/>
          <w:bCs/>
        </w:rPr>
        <w:t>Family-Friendly Cities and Social Inclusion</w:t>
      </w:r>
    </w:p>
    <w:p w14:paraId="579D10E2" w14:textId="77777777" w:rsidR="004C4198" w:rsidRPr="004C4198" w:rsidRDefault="004C4198" w:rsidP="00787D87">
      <w:pPr>
        <w:pStyle w:val="ListParagraph"/>
        <w:numPr>
          <w:ilvl w:val="0"/>
          <w:numId w:val="27"/>
        </w:numPr>
      </w:pPr>
      <w:r w:rsidRPr="004C4198">
        <w:t>Creating child-friendly and family-oriented urban policies.</w:t>
      </w:r>
    </w:p>
    <w:p w14:paraId="3F9D8C83" w14:textId="77777777" w:rsidR="004C4198" w:rsidRPr="004C4198" w:rsidRDefault="004C4198" w:rsidP="00787D87">
      <w:pPr>
        <w:pStyle w:val="ListParagraph"/>
        <w:numPr>
          <w:ilvl w:val="0"/>
          <w:numId w:val="27"/>
        </w:numPr>
      </w:pPr>
      <w:r w:rsidRPr="004C4198">
        <w:t>Affordable housing, education, and healthcare in urban areas.</w:t>
      </w:r>
    </w:p>
    <w:p w14:paraId="1A245256" w14:textId="77777777" w:rsidR="004C4198" w:rsidRPr="004C4198" w:rsidRDefault="004C4198" w:rsidP="00787D87">
      <w:pPr>
        <w:pStyle w:val="ListParagraph"/>
        <w:numPr>
          <w:ilvl w:val="0"/>
          <w:numId w:val="27"/>
        </w:numPr>
      </w:pPr>
      <w:r w:rsidRPr="004C4198">
        <w:t>Strategies for ensuring inclusive and equitable urban development.</w:t>
      </w:r>
    </w:p>
    <w:p w14:paraId="7E77716C" w14:textId="77777777" w:rsidR="004C4198" w:rsidRPr="004C4198" w:rsidRDefault="004C4198" w:rsidP="004C4198">
      <w:pPr>
        <w:numPr>
          <w:ilvl w:val="0"/>
          <w:numId w:val="18"/>
        </w:numPr>
      </w:pPr>
      <w:r w:rsidRPr="004C4198">
        <w:rPr>
          <w:b/>
          <w:bCs/>
        </w:rPr>
        <w:t>Managing Urban Growth and Sustainability</w:t>
      </w:r>
    </w:p>
    <w:p w14:paraId="474747AD" w14:textId="77777777" w:rsidR="004C4198" w:rsidRPr="004C4198" w:rsidRDefault="004C4198" w:rsidP="00787D87">
      <w:pPr>
        <w:pStyle w:val="ListParagraph"/>
        <w:numPr>
          <w:ilvl w:val="0"/>
          <w:numId w:val="27"/>
        </w:numPr>
      </w:pPr>
      <w:r w:rsidRPr="004C4198">
        <w:t>Sustainable city expansion and transit-oriented development.</w:t>
      </w:r>
    </w:p>
    <w:p w14:paraId="1495930A" w14:textId="77777777" w:rsidR="004C4198" w:rsidRPr="004C4198" w:rsidRDefault="004C4198" w:rsidP="00787D87">
      <w:pPr>
        <w:pStyle w:val="ListParagraph"/>
        <w:numPr>
          <w:ilvl w:val="0"/>
          <w:numId w:val="27"/>
        </w:numPr>
      </w:pPr>
      <w:r w:rsidRPr="004C4198">
        <w:t>Environmental conservation and smart city planning.</w:t>
      </w:r>
    </w:p>
    <w:p w14:paraId="49369C48" w14:textId="77777777" w:rsidR="004C4198" w:rsidRPr="004C4198" w:rsidRDefault="004C4198" w:rsidP="00787D87">
      <w:pPr>
        <w:pStyle w:val="ListParagraph"/>
        <w:numPr>
          <w:ilvl w:val="0"/>
          <w:numId w:val="27"/>
        </w:numPr>
      </w:pPr>
      <w:r w:rsidRPr="004C4198">
        <w:t>Strategies for resilient and adaptive urban infrastructure.</w:t>
      </w:r>
    </w:p>
    <w:p w14:paraId="03DC05AE" w14:textId="77777777" w:rsidR="004C4198" w:rsidRDefault="004C4198" w:rsidP="004C4198"/>
    <w:p w14:paraId="6A1EFD99" w14:textId="77777777" w:rsidR="00B65D0D" w:rsidRDefault="00B65D0D" w:rsidP="00B65D0D">
      <w:pPr>
        <w:pStyle w:val="Heading2"/>
      </w:pPr>
      <w:r w:rsidRPr="00B65D0D">
        <w:t>Key Deadlines</w:t>
      </w:r>
    </w:p>
    <w:p w14:paraId="5078CFA9" w14:textId="7151774C" w:rsidR="00B65D0D" w:rsidRDefault="00B65D0D" w:rsidP="00B65D0D">
      <w:r>
        <w:t>UCLG ASPAC Congress Proceedings papers must be formatted to the following Article Structure</w:t>
      </w:r>
      <w:r w:rsidR="00787D87">
        <w:t xml:space="preserve"> </w:t>
      </w:r>
      <w:r w:rsidR="00787D87" w:rsidRPr="00787D87">
        <w:rPr>
          <w:b/>
          <w:bCs/>
        </w:rPr>
        <w:t>(Annex 1)</w:t>
      </w:r>
      <w:r w:rsidRPr="00787D87">
        <w:rPr>
          <w:b/>
          <w:bCs/>
        </w:rPr>
        <w:t>,</w:t>
      </w:r>
      <w:r>
        <w:t xml:space="preserve"> Style Checklist</w:t>
      </w:r>
      <w:r w:rsidR="00787D87">
        <w:t xml:space="preserve"> </w:t>
      </w:r>
      <w:r w:rsidR="00787D87" w:rsidRPr="00787D87">
        <w:rPr>
          <w:b/>
          <w:bCs/>
        </w:rPr>
        <w:t>(Annex 2)</w:t>
      </w:r>
      <w:r w:rsidRPr="00787D87">
        <w:rPr>
          <w:b/>
          <w:bCs/>
        </w:rPr>
        <w:t xml:space="preserve">, </w:t>
      </w:r>
      <w:r>
        <w:t xml:space="preserve">and Paper Template </w:t>
      </w:r>
      <w:r w:rsidRPr="00787D87">
        <w:rPr>
          <w:b/>
          <w:bCs/>
        </w:rPr>
        <w:t>(An</w:t>
      </w:r>
      <w:r w:rsidR="00787D87">
        <w:rPr>
          <w:b/>
          <w:bCs/>
        </w:rPr>
        <w:t>n</w:t>
      </w:r>
      <w:r w:rsidRPr="00787D87">
        <w:rPr>
          <w:b/>
          <w:bCs/>
        </w:rPr>
        <w:t xml:space="preserve">ex </w:t>
      </w:r>
      <w:r w:rsidR="00787D87">
        <w:rPr>
          <w:b/>
          <w:bCs/>
        </w:rPr>
        <w:t>3)</w:t>
      </w:r>
    </w:p>
    <w:p w14:paraId="765D8C4A" w14:textId="77777777" w:rsidR="00B65D0D" w:rsidRDefault="00B65D0D" w:rsidP="00B65D0D">
      <w:pPr>
        <w:pStyle w:val="ListParagraph"/>
        <w:numPr>
          <w:ilvl w:val="0"/>
          <w:numId w:val="19"/>
        </w:numPr>
      </w:pPr>
      <w:r>
        <w:t xml:space="preserve">Papers that do not follow </w:t>
      </w:r>
      <w:r w:rsidRPr="008A097C">
        <w:t>these guidelines</w:t>
      </w:r>
      <w:r>
        <w:t xml:space="preserve"> will be returned for editing. </w:t>
      </w:r>
    </w:p>
    <w:p w14:paraId="78B633FF" w14:textId="7EB718FC" w:rsidR="00B65D0D" w:rsidRDefault="00B65D0D" w:rsidP="00B65D0D">
      <w:pPr>
        <w:pStyle w:val="ListParagraph"/>
        <w:numPr>
          <w:ilvl w:val="0"/>
          <w:numId w:val="19"/>
        </w:numPr>
      </w:pPr>
      <w:r>
        <w:t xml:space="preserve">Papers must be submitted through the Online Form by the corresponding author. </w:t>
      </w:r>
    </w:p>
    <w:p w14:paraId="783A6370" w14:textId="6DA07CF0" w:rsidR="00B65D0D" w:rsidRDefault="00B65D0D" w:rsidP="00B65D0D">
      <w:pPr>
        <w:pStyle w:val="ListParagraph"/>
        <w:numPr>
          <w:ilvl w:val="0"/>
          <w:numId w:val="19"/>
        </w:numPr>
      </w:pPr>
      <w:r>
        <w:t>Papers submitted through email will not be accepted.</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984"/>
        <w:gridCol w:w="1155"/>
        <w:gridCol w:w="1113"/>
        <w:gridCol w:w="1418"/>
      </w:tblGrid>
      <w:tr w:rsidR="008A097C" w:rsidRPr="00DB05A4" w14:paraId="338B42AD" w14:textId="77777777" w:rsidTr="749DEC09">
        <w:trPr>
          <w:trHeight w:val="381"/>
        </w:trPr>
        <w:tc>
          <w:tcPr>
            <w:tcW w:w="3681" w:type="dxa"/>
            <w:shd w:val="clear" w:color="auto" w:fill="auto"/>
            <w:vAlign w:val="center"/>
            <w:hideMark/>
          </w:tcPr>
          <w:p w14:paraId="5068C810" w14:textId="77777777" w:rsidR="008A097C" w:rsidRPr="00DB05A4" w:rsidRDefault="008A097C" w:rsidP="00DB05A4">
            <w:pPr>
              <w:spacing w:after="0" w:line="240" w:lineRule="auto"/>
              <w:jc w:val="center"/>
              <w:rPr>
                <w:rFonts w:ascii="Calibri" w:eastAsia="Times New Roman" w:hAnsi="Calibri" w:cs="Calibri"/>
                <w:b/>
                <w:bCs/>
                <w:color w:val="000000"/>
                <w:kern w:val="0"/>
                <w:sz w:val="20"/>
                <w:szCs w:val="20"/>
                <w:lang w:eastAsia="en-ID"/>
                <w14:ligatures w14:val="none"/>
              </w:rPr>
            </w:pPr>
            <w:r w:rsidRPr="00DB05A4">
              <w:rPr>
                <w:rFonts w:ascii="Calibri" w:eastAsia="Times New Roman" w:hAnsi="Calibri" w:cs="Calibri"/>
                <w:b/>
                <w:bCs/>
                <w:color w:val="000000"/>
                <w:kern w:val="0"/>
                <w:sz w:val="20"/>
                <w:szCs w:val="20"/>
                <w:lang w:eastAsia="en-ID"/>
                <w14:ligatures w14:val="none"/>
              </w:rPr>
              <w:t>Milestone</w:t>
            </w:r>
          </w:p>
        </w:tc>
        <w:tc>
          <w:tcPr>
            <w:tcW w:w="1984" w:type="dxa"/>
            <w:shd w:val="clear" w:color="auto" w:fill="auto"/>
            <w:vAlign w:val="center"/>
            <w:hideMark/>
          </w:tcPr>
          <w:p w14:paraId="5ECFFE5A" w14:textId="77777777" w:rsidR="008A097C" w:rsidRPr="00DB05A4" w:rsidRDefault="008A097C" w:rsidP="00DB05A4">
            <w:pPr>
              <w:spacing w:after="0" w:line="240" w:lineRule="auto"/>
              <w:jc w:val="center"/>
              <w:rPr>
                <w:rFonts w:ascii="Calibri" w:eastAsia="Times New Roman" w:hAnsi="Calibri" w:cs="Calibri"/>
                <w:b/>
                <w:bCs/>
                <w:color w:val="000000"/>
                <w:kern w:val="0"/>
                <w:sz w:val="20"/>
                <w:szCs w:val="20"/>
                <w:lang w:eastAsia="en-ID"/>
                <w14:ligatures w14:val="none"/>
              </w:rPr>
            </w:pPr>
            <w:r w:rsidRPr="00DB05A4">
              <w:rPr>
                <w:rFonts w:ascii="Calibri" w:eastAsia="Times New Roman" w:hAnsi="Calibri" w:cs="Calibri"/>
                <w:b/>
                <w:bCs/>
                <w:color w:val="000000"/>
                <w:kern w:val="0"/>
                <w:sz w:val="20"/>
                <w:szCs w:val="20"/>
                <w:lang w:eastAsia="en-ID"/>
                <w14:ligatures w14:val="none"/>
              </w:rPr>
              <w:t>Deadline</w:t>
            </w:r>
          </w:p>
        </w:tc>
        <w:tc>
          <w:tcPr>
            <w:tcW w:w="1155" w:type="dxa"/>
            <w:shd w:val="clear" w:color="auto" w:fill="auto"/>
            <w:noWrap/>
            <w:vAlign w:val="bottom"/>
            <w:hideMark/>
          </w:tcPr>
          <w:p w14:paraId="770387D7" w14:textId="77777777" w:rsidR="008A097C" w:rsidRPr="00DB05A4" w:rsidRDefault="008A097C" w:rsidP="00DB05A4">
            <w:pPr>
              <w:spacing w:after="0" w:line="240" w:lineRule="auto"/>
              <w:jc w:val="center"/>
              <w:rPr>
                <w:rFonts w:ascii="Aptos Narrow" w:eastAsia="Times New Roman" w:hAnsi="Aptos Narrow" w:cs="Times New Roman"/>
                <w:b/>
                <w:bCs/>
                <w:color w:val="000000"/>
                <w:kern w:val="0"/>
                <w:sz w:val="20"/>
                <w:szCs w:val="20"/>
                <w:lang w:eastAsia="en-ID"/>
                <w14:ligatures w14:val="none"/>
              </w:rPr>
            </w:pPr>
            <w:r w:rsidRPr="00DB05A4">
              <w:rPr>
                <w:rFonts w:ascii="Aptos Narrow" w:eastAsia="Times New Roman" w:hAnsi="Aptos Narrow" w:cs="Times New Roman"/>
                <w:b/>
                <w:bCs/>
                <w:color w:val="000000"/>
                <w:kern w:val="0"/>
                <w:sz w:val="20"/>
                <w:szCs w:val="20"/>
                <w:lang w:eastAsia="en-ID"/>
                <w14:ligatures w14:val="none"/>
              </w:rPr>
              <w:t>July</w:t>
            </w:r>
          </w:p>
        </w:tc>
        <w:tc>
          <w:tcPr>
            <w:tcW w:w="1113" w:type="dxa"/>
            <w:shd w:val="clear" w:color="auto" w:fill="auto"/>
            <w:noWrap/>
            <w:vAlign w:val="bottom"/>
            <w:hideMark/>
          </w:tcPr>
          <w:p w14:paraId="5D7F3F43" w14:textId="55ECBB9B" w:rsidR="008A097C" w:rsidRPr="00DB05A4" w:rsidRDefault="008A097C" w:rsidP="00DB05A4">
            <w:pPr>
              <w:spacing w:after="0" w:line="240" w:lineRule="auto"/>
              <w:jc w:val="center"/>
              <w:rPr>
                <w:rFonts w:ascii="Aptos Narrow" w:eastAsia="Times New Roman" w:hAnsi="Aptos Narrow" w:cs="Times New Roman"/>
                <w:b/>
                <w:bCs/>
                <w:color w:val="000000"/>
                <w:kern w:val="0"/>
                <w:sz w:val="20"/>
                <w:szCs w:val="20"/>
                <w:lang w:eastAsia="en-ID"/>
                <w14:ligatures w14:val="none"/>
              </w:rPr>
            </w:pPr>
            <w:proofErr w:type="spellStart"/>
            <w:r>
              <w:rPr>
                <w:rFonts w:ascii="Aptos Narrow" w:eastAsia="Times New Roman" w:hAnsi="Aptos Narrow" w:cs="Times New Roman"/>
                <w:b/>
                <w:bCs/>
                <w:color w:val="000000"/>
                <w:kern w:val="0"/>
                <w:sz w:val="20"/>
                <w:szCs w:val="20"/>
                <w:lang w:eastAsia="en-ID"/>
                <w14:ligatures w14:val="none"/>
              </w:rPr>
              <w:t>Augt</w:t>
            </w:r>
            <w:proofErr w:type="spellEnd"/>
          </w:p>
        </w:tc>
        <w:tc>
          <w:tcPr>
            <w:tcW w:w="1418" w:type="dxa"/>
            <w:shd w:val="clear" w:color="auto" w:fill="auto"/>
            <w:noWrap/>
            <w:vAlign w:val="bottom"/>
            <w:hideMark/>
          </w:tcPr>
          <w:p w14:paraId="75AAC66D" w14:textId="3B4D4000" w:rsidR="008A097C" w:rsidRPr="00DB05A4" w:rsidRDefault="008A097C" w:rsidP="00DB05A4">
            <w:pPr>
              <w:spacing w:after="0" w:line="240" w:lineRule="auto"/>
              <w:jc w:val="center"/>
              <w:rPr>
                <w:rFonts w:ascii="Aptos Narrow" w:eastAsia="Times New Roman" w:hAnsi="Aptos Narrow" w:cs="Times New Roman"/>
                <w:b/>
                <w:bCs/>
                <w:color w:val="000000"/>
                <w:kern w:val="0"/>
                <w:sz w:val="20"/>
                <w:szCs w:val="20"/>
                <w:lang w:eastAsia="en-ID"/>
                <w14:ligatures w14:val="none"/>
              </w:rPr>
            </w:pPr>
            <w:r>
              <w:rPr>
                <w:rFonts w:ascii="Aptos Narrow" w:eastAsia="Times New Roman" w:hAnsi="Aptos Narrow" w:cs="Times New Roman"/>
                <w:b/>
                <w:bCs/>
                <w:color w:val="000000"/>
                <w:kern w:val="0"/>
                <w:sz w:val="20"/>
                <w:szCs w:val="20"/>
                <w:lang w:eastAsia="en-ID"/>
                <w14:ligatures w14:val="none"/>
              </w:rPr>
              <w:t>Sept</w:t>
            </w:r>
          </w:p>
        </w:tc>
      </w:tr>
      <w:tr w:rsidR="008A097C" w:rsidRPr="00DB05A4" w14:paraId="271950E7" w14:textId="77777777" w:rsidTr="749DEC09">
        <w:trPr>
          <w:trHeight w:val="20"/>
        </w:trPr>
        <w:tc>
          <w:tcPr>
            <w:tcW w:w="3681" w:type="dxa"/>
            <w:shd w:val="clear" w:color="auto" w:fill="auto"/>
            <w:vAlign w:val="center"/>
            <w:hideMark/>
          </w:tcPr>
          <w:p w14:paraId="0089C317" w14:textId="77777777" w:rsidR="008A097C" w:rsidRPr="00DB05A4" w:rsidRDefault="008A097C" w:rsidP="00DB05A4">
            <w:pPr>
              <w:spacing w:after="0" w:line="240" w:lineRule="auto"/>
              <w:rPr>
                <w:rFonts w:ascii="Calibri" w:eastAsia="Times New Roman" w:hAnsi="Calibri" w:cs="Calibri"/>
                <w:color w:val="000000"/>
                <w:kern w:val="0"/>
                <w:sz w:val="20"/>
                <w:szCs w:val="20"/>
                <w:lang w:eastAsia="en-ID"/>
                <w14:ligatures w14:val="none"/>
              </w:rPr>
            </w:pPr>
            <w:r w:rsidRPr="00DB05A4">
              <w:rPr>
                <w:rFonts w:ascii="Calibri" w:eastAsia="Times New Roman" w:hAnsi="Calibri" w:cs="Calibri"/>
                <w:color w:val="000000"/>
                <w:kern w:val="0"/>
                <w:sz w:val="20"/>
                <w:szCs w:val="20"/>
                <w:lang w:eastAsia="en-ID"/>
                <w14:ligatures w14:val="none"/>
              </w:rPr>
              <w:t>Call for Papers Announcement</w:t>
            </w:r>
          </w:p>
        </w:tc>
        <w:tc>
          <w:tcPr>
            <w:tcW w:w="1984" w:type="dxa"/>
            <w:shd w:val="clear" w:color="auto" w:fill="auto"/>
            <w:vAlign w:val="center"/>
            <w:hideMark/>
          </w:tcPr>
          <w:p w14:paraId="400DED79" w14:textId="6D267168" w:rsidR="008A097C" w:rsidRPr="00DB05A4" w:rsidRDefault="008A097C" w:rsidP="00DB05A4">
            <w:pPr>
              <w:spacing w:after="0" w:line="240" w:lineRule="auto"/>
              <w:rPr>
                <w:rFonts w:ascii="Calibri" w:eastAsia="Times New Roman" w:hAnsi="Calibri" w:cs="Calibri"/>
                <w:color w:val="000000"/>
                <w:kern w:val="0"/>
                <w:sz w:val="20"/>
                <w:szCs w:val="20"/>
                <w:lang w:eastAsia="en-ID"/>
                <w14:ligatures w14:val="none"/>
              </w:rPr>
            </w:pPr>
            <w:r w:rsidRPr="00DB05A4">
              <w:rPr>
                <w:rFonts w:ascii="Calibri" w:eastAsia="Times New Roman" w:hAnsi="Calibri" w:cs="Calibri"/>
                <w:color w:val="000000"/>
                <w:kern w:val="0"/>
                <w:sz w:val="20"/>
                <w:szCs w:val="20"/>
                <w:lang w:eastAsia="en-ID"/>
                <w14:ligatures w14:val="none"/>
              </w:rPr>
              <w:t xml:space="preserve">1 </w:t>
            </w:r>
            <w:r>
              <w:rPr>
                <w:rFonts w:ascii="Calibri" w:eastAsia="Times New Roman" w:hAnsi="Calibri" w:cs="Calibri"/>
                <w:color w:val="000000"/>
                <w:kern w:val="0"/>
                <w:sz w:val="20"/>
                <w:szCs w:val="20"/>
                <w:lang w:eastAsia="en-ID"/>
                <w14:ligatures w14:val="none"/>
              </w:rPr>
              <w:t>July</w:t>
            </w:r>
            <w:r w:rsidRPr="00DB05A4">
              <w:rPr>
                <w:rFonts w:ascii="Calibri" w:eastAsia="Times New Roman" w:hAnsi="Calibri" w:cs="Calibri"/>
                <w:color w:val="000000"/>
                <w:kern w:val="0"/>
                <w:sz w:val="20"/>
                <w:szCs w:val="20"/>
                <w:lang w:eastAsia="en-ID"/>
                <w14:ligatures w14:val="none"/>
              </w:rPr>
              <w:t xml:space="preserve"> 2025</w:t>
            </w:r>
          </w:p>
        </w:tc>
        <w:tc>
          <w:tcPr>
            <w:tcW w:w="1155" w:type="dxa"/>
            <w:shd w:val="clear" w:color="auto" w:fill="1F3864" w:themeFill="accent1" w:themeFillShade="80"/>
            <w:noWrap/>
            <w:vAlign w:val="bottom"/>
            <w:hideMark/>
          </w:tcPr>
          <w:p w14:paraId="22E51E2B"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r w:rsidRPr="00DB05A4">
              <w:rPr>
                <w:rFonts w:ascii="Aptos Narrow" w:eastAsia="Times New Roman" w:hAnsi="Aptos Narrow" w:cs="Times New Roman"/>
                <w:color w:val="000000"/>
                <w:kern w:val="0"/>
                <w:sz w:val="20"/>
                <w:szCs w:val="20"/>
                <w:lang w:eastAsia="en-ID"/>
                <w14:ligatures w14:val="none"/>
              </w:rPr>
              <w:t> </w:t>
            </w:r>
          </w:p>
        </w:tc>
        <w:tc>
          <w:tcPr>
            <w:tcW w:w="1113" w:type="dxa"/>
            <w:shd w:val="clear" w:color="auto" w:fill="auto"/>
            <w:noWrap/>
            <w:vAlign w:val="bottom"/>
            <w:hideMark/>
          </w:tcPr>
          <w:p w14:paraId="4AC31729"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r w:rsidRPr="00DB05A4">
              <w:rPr>
                <w:rFonts w:ascii="Aptos Narrow" w:eastAsia="Times New Roman" w:hAnsi="Aptos Narrow" w:cs="Times New Roman"/>
                <w:color w:val="000000"/>
                <w:kern w:val="0"/>
                <w:sz w:val="20"/>
                <w:szCs w:val="20"/>
                <w:lang w:eastAsia="en-ID"/>
                <w14:ligatures w14:val="none"/>
              </w:rPr>
              <w:t> </w:t>
            </w:r>
          </w:p>
        </w:tc>
        <w:tc>
          <w:tcPr>
            <w:tcW w:w="1418" w:type="dxa"/>
            <w:shd w:val="clear" w:color="auto" w:fill="auto"/>
            <w:noWrap/>
            <w:vAlign w:val="bottom"/>
            <w:hideMark/>
          </w:tcPr>
          <w:p w14:paraId="395C5AEF"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r w:rsidRPr="00DB05A4">
              <w:rPr>
                <w:rFonts w:ascii="Aptos Narrow" w:eastAsia="Times New Roman" w:hAnsi="Aptos Narrow" w:cs="Times New Roman"/>
                <w:color w:val="000000"/>
                <w:kern w:val="0"/>
                <w:sz w:val="20"/>
                <w:szCs w:val="20"/>
                <w:lang w:eastAsia="en-ID"/>
                <w14:ligatures w14:val="none"/>
              </w:rPr>
              <w:t> </w:t>
            </w:r>
          </w:p>
        </w:tc>
      </w:tr>
      <w:tr w:rsidR="008A097C" w:rsidRPr="00DB05A4" w14:paraId="0D668877" w14:textId="77777777" w:rsidTr="749DEC09">
        <w:trPr>
          <w:trHeight w:val="20"/>
        </w:trPr>
        <w:tc>
          <w:tcPr>
            <w:tcW w:w="3681" w:type="dxa"/>
            <w:shd w:val="clear" w:color="auto" w:fill="auto"/>
            <w:vAlign w:val="center"/>
          </w:tcPr>
          <w:p w14:paraId="68215985" w14:textId="2AB40854" w:rsidR="008A097C" w:rsidRPr="00DB05A4" w:rsidRDefault="008A097C" w:rsidP="00DB05A4">
            <w:pPr>
              <w:spacing w:after="0" w:line="240" w:lineRule="auto"/>
              <w:rPr>
                <w:rFonts w:ascii="Calibri" w:eastAsia="Times New Roman" w:hAnsi="Calibri" w:cs="Calibri"/>
                <w:color w:val="000000"/>
                <w:kern w:val="0"/>
                <w:sz w:val="20"/>
                <w:szCs w:val="20"/>
                <w:lang w:eastAsia="en-ID"/>
                <w14:ligatures w14:val="none"/>
              </w:rPr>
            </w:pPr>
            <w:r>
              <w:rPr>
                <w:rFonts w:ascii="Calibri" w:eastAsia="Times New Roman" w:hAnsi="Calibri" w:cs="Calibri"/>
                <w:color w:val="000000"/>
                <w:kern w:val="0"/>
                <w:sz w:val="20"/>
                <w:szCs w:val="20"/>
                <w:lang w:eastAsia="en-ID"/>
                <w14:ligatures w14:val="none"/>
              </w:rPr>
              <w:t>Abstract</w:t>
            </w:r>
            <w:r w:rsidRPr="00DB05A4">
              <w:rPr>
                <w:rFonts w:ascii="Calibri" w:eastAsia="Times New Roman" w:hAnsi="Calibri" w:cs="Calibri"/>
                <w:color w:val="000000"/>
                <w:kern w:val="0"/>
                <w:sz w:val="20"/>
                <w:szCs w:val="20"/>
                <w:lang w:eastAsia="en-ID"/>
                <w14:ligatures w14:val="none"/>
              </w:rPr>
              <w:t xml:space="preserve"> Submission Deadline</w:t>
            </w:r>
          </w:p>
        </w:tc>
        <w:tc>
          <w:tcPr>
            <w:tcW w:w="1984" w:type="dxa"/>
            <w:shd w:val="clear" w:color="auto" w:fill="auto"/>
            <w:vAlign w:val="center"/>
          </w:tcPr>
          <w:p w14:paraId="62742818" w14:textId="50AED86A" w:rsidR="008A097C" w:rsidRPr="00DB05A4" w:rsidRDefault="008A097C" w:rsidP="00DB05A4">
            <w:pPr>
              <w:spacing w:after="0" w:line="240" w:lineRule="auto"/>
              <w:rPr>
                <w:rFonts w:ascii="Calibri" w:eastAsia="Times New Roman" w:hAnsi="Calibri" w:cs="Calibri"/>
                <w:color w:val="000000"/>
                <w:kern w:val="0"/>
                <w:sz w:val="20"/>
                <w:szCs w:val="20"/>
                <w:lang w:eastAsia="en-ID"/>
                <w14:ligatures w14:val="none"/>
              </w:rPr>
            </w:pPr>
            <w:r>
              <w:rPr>
                <w:rFonts w:ascii="Calibri" w:eastAsia="Times New Roman" w:hAnsi="Calibri" w:cs="Calibri"/>
                <w:color w:val="000000"/>
                <w:kern w:val="0"/>
                <w:sz w:val="20"/>
                <w:szCs w:val="20"/>
                <w:lang w:eastAsia="en-ID"/>
                <w14:ligatures w14:val="none"/>
              </w:rPr>
              <w:t>18 July</w:t>
            </w:r>
          </w:p>
        </w:tc>
        <w:tc>
          <w:tcPr>
            <w:tcW w:w="1155" w:type="dxa"/>
            <w:shd w:val="clear" w:color="auto" w:fill="1F3864" w:themeFill="accent1" w:themeFillShade="80"/>
            <w:noWrap/>
            <w:vAlign w:val="bottom"/>
          </w:tcPr>
          <w:p w14:paraId="79960839"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p>
        </w:tc>
        <w:tc>
          <w:tcPr>
            <w:tcW w:w="1113" w:type="dxa"/>
            <w:shd w:val="clear" w:color="auto" w:fill="auto"/>
            <w:noWrap/>
            <w:vAlign w:val="bottom"/>
          </w:tcPr>
          <w:p w14:paraId="0BC67B61"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p>
        </w:tc>
        <w:tc>
          <w:tcPr>
            <w:tcW w:w="1418" w:type="dxa"/>
            <w:shd w:val="clear" w:color="auto" w:fill="auto"/>
            <w:noWrap/>
            <w:vAlign w:val="bottom"/>
          </w:tcPr>
          <w:p w14:paraId="5877F7B4"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p>
        </w:tc>
      </w:tr>
      <w:tr w:rsidR="008A097C" w:rsidRPr="00DB05A4" w14:paraId="2B871D0C" w14:textId="77777777" w:rsidTr="749DEC09">
        <w:trPr>
          <w:trHeight w:val="20"/>
        </w:trPr>
        <w:tc>
          <w:tcPr>
            <w:tcW w:w="3681" w:type="dxa"/>
            <w:shd w:val="clear" w:color="auto" w:fill="auto"/>
            <w:vAlign w:val="center"/>
            <w:hideMark/>
          </w:tcPr>
          <w:p w14:paraId="11416BBD" w14:textId="06D05DF7" w:rsidR="008A097C" w:rsidRPr="00DB05A4" w:rsidRDefault="008A097C" w:rsidP="00DB05A4">
            <w:pPr>
              <w:spacing w:after="0" w:line="240" w:lineRule="auto"/>
              <w:rPr>
                <w:rFonts w:ascii="Calibri" w:eastAsia="Times New Roman" w:hAnsi="Calibri" w:cs="Calibri"/>
                <w:color w:val="000000"/>
                <w:kern w:val="0"/>
                <w:sz w:val="20"/>
                <w:szCs w:val="20"/>
                <w:lang w:eastAsia="en-ID"/>
                <w14:ligatures w14:val="none"/>
              </w:rPr>
            </w:pPr>
            <w:r w:rsidRPr="00DB05A4">
              <w:rPr>
                <w:rFonts w:ascii="Calibri" w:eastAsia="Times New Roman" w:hAnsi="Calibri" w:cs="Calibri"/>
                <w:color w:val="000000"/>
                <w:kern w:val="0"/>
                <w:sz w:val="20"/>
                <w:szCs w:val="20"/>
                <w:lang w:eastAsia="en-ID"/>
                <w14:ligatures w14:val="none"/>
              </w:rPr>
              <w:t>Full Paper Submission Deadline</w:t>
            </w:r>
          </w:p>
        </w:tc>
        <w:tc>
          <w:tcPr>
            <w:tcW w:w="1984" w:type="dxa"/>
            <w:shd w:val="clear" w:color="auto" w:fill="auto"/>
            <w:vAlign w:val="center"/>
            <w:hideMark/>
          </w:tcPr>
          <w:p w14:paraId="15CEDF85" w14:textId="3AB0C3F2" w:rsidR="008A097C" w:rsidRPr="00DB05A4" w:rsidRDefault="008A097C" w:rsidP="00DB05A4">
            <w:pPr>
              <w:spacing w:after="0" w:line="240" w:lineRule="auto"/>
              <w:rPr>
                <w:rFonts w:ascii="Calibri" w:eastAsia="Times New Roman" w:hAnsi="Calibri" w:cs="Calibri"/>
                <w:color w:val="000000"/>
                <w:kern w:val="0"/>
                <w:sz w:val="20"/>
                <w:szCs w:val="20"/>
                <w:lang w:eastAsia="en-ID"/>
                <w14:ligatures w14:val="none"/>
              </w:rPr>
            </w:pPr>
            <w:r w:rsidRPr="00DB05A4">
              <w:rPr>
                <w:rFonts w:ascii="Calibri" w:eastAsia="Times New Roman" w:hAnsi="Calibri" w:cs="Calibri"/>
                <w:color w:val="000000"/>
                <w:kern w:val="0"/>
                <w:sz w:val="20"/>
                <w:szCs w:val="20"/>
                <w:lang w:eastAsia="en-ID"/>
                <w14:ligatures w14:val="none"/>
              </w:rPr>
              <w:t xml:space="preserve">25 </w:t>
            </w:r>
            <w:r>
              <w:rPr>
                <w:rFonts w:ascii="Calibri" w:eastAsia="Times New Roman" w:hAnsi="Calibri" w:cs="Calibri"/>
                <w:color w:val="000000"/>
                <w:kern w:val="0"/>
                <w:sz w:val="20"/>
                <w:szCs w:val="20"/>
                <w:lang w:eastAsia="en-ID"/>
                <w14:ligatures w14:val="none"/>
              </w:rPr>
              <w:t>Jul</w:t>
            </w:r>
            <w:r w:rsidR="739F0E9E">
              <w:rPr>
                <w:rFonts w:ascii="Calibri" w:eastAsia="Times New Roman" w:hAnsi="Calibri" w:cs="Calibri"/>
                <w:color w:val="000000"/>
                <w:kern w:val="0"/>
                <w:sz w:val="20"/>
                <w:szCs w:val="20"/>
                <w:lang w:eastAsia="en-ID"/>
                <w14:ligatures w14:val="none"/>
              </w:rPr>
              <w:t>y</w:t>
            </w:r>
            <w:r w:rsidRPr="00DB05A4">
              <w:rPr>
                <w:rFonts w:ascii="Calibri" w:eastAsia="Times New Roman" w:hAnsi="Calibri" w:cs="Calibri"/>
                <w:color w:val="000000"/>
                <w:kern w:val="0"/>
                <w:sz w:val="20"/>
                <w:szCs w:val="20"/>
                <w:lang w:eastAsia="en-ID"/>
                <w14:ligatures w14:val="none"/>
              </w:rPr>
              <w:t xml:space="preserve"> 2025</w:t>
            </w:r>
          </w:p>
        </w:tc>
        <w:tc>
          <w:tcPr>
            <w:tcW w:w="1155" w:type="dxa"/>
            <w:shd w:val="clear" w:color="auto" w:fill="1F3864" w:themeFill="accent1" w:themeFillShade="80"/>
            <w:noWrap/>
            <w:vAlign w:val="bottom"/>
            <w:hideMark/>
          </w:tcPr>
          <w:p w14:paraId="392F5C99"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r w:rsidRPr="00DB05A4">
              <w:rPr>
                <w:rFonts w:ascii="Aptos Narrow" w:eastAsia="Times New Roman" w:hAnsi="Aptos Narrow" w:cs="Times New Roman"/>
                <w:color w:val="000000"/>
                <w:kern w:val="0"/>
                <w:sz w:val="20"/>
                <w:szCs w:val="20"/>
                <w:lang w:eastAsia="en-ID"/>
                <w14:ligatures w14:val="none"/>
              </w:rPr>
              <w:t> </w:t>
            </w:r>
          </w:p>
        </w:tc>
        <w:tc>
          <w:tcPr>
            <w:tcW w:w="1113" w:type="dxa"/>
            <w:shd w:val="clear" w:color="auto" w:fill="auto"/>
            <w:noWrap/>
            <w:vAlign w:val="bottom"/>
            <w:hideMark/>
          </w:tcPr>
          <w:p w14:paraId="6900306C"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r w:rsidRPr="00DB05A4">
              <w:rPr>
                <w:rFonts w:ascii="Aptos Narrow" w:eastAsia="Times New Roman" w:hAnsi="Aptos Narrow" w:cs="Times New Roman"/>
                <w:color w:val="000000"/>
                <w:kern w:val="0"/>
                <w:sz w:val="20"/>
                <w:szCs w:val="20"/>
                <w:lang w:eastAsia="en-ID"/>
                <w14:ligatures w14:val="none"/>
              </w:rPr>
              <w:t> </w:t>
            </w:r>
          </w:p>
        </w:tc>
        <w:tc>
          <w:tcPr>
            <w:tcW w:w="1418" w:type="dxa"/>
            <w:shd w:val="clear" w:color="auto" w:fill="auto"/>
            <w:noWrap/>
            <w:vAlign w:val="bottom"/>
            <w:hideMark/>
          </w:tcPr>
          <w:p w14:paraId="474E8D14"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r w:rsidRPr="00DB05A4">
              <w:rPr>
                <w:rFonts w:ascii="Aptos Narrow" w:eastAsia="Times New Roman" w:hAnsi="Aptos Narrow" w:cs="Times New Roman"/>
                <w:color w:val="000000"/>
                <w:kern w:val="0"/>
                <w:sz w:val="20"/>
                <w:szCs w:val="20"/>
                <w:lang w:eastAsia="en-ID"/>
                <w14:ligatures w14:val="none"/>
              </w:rPr>
              <w:t> </w:t>
            </w:r>
          </w:p>
        </w:tc>
      </w:tr>
      <w:tr w:rsidR="008A097C" w:rsidRPr="00DB05A4" w14:paraId="6EAA916C" w14:textId="77777777" w:rsidTr="749DEC09">
        <w:trPr>
          <w:trHeight w:val="20"/>
        </w:trPr>
        <w:tc>
          <w:tcPr>
            <w:tcW w:w="3681" w:type="dxa"/>
            <w:shd w:val="clear" w:color="auto" w:fill="auto"/>
            <w:vAlign w:val="center"/>
            <w:hideMark/>
          </w:tcPr>
          <w:p w14:paraId="79721498" w14:textId="0CA038E8" w:rsidR="008A097C" w:rsidRPr="00DB05A4" w:rsidRDefault="008A097C" w:rsidP="00DB05A4">
            <w:pPr>
              <w:spacing w:after="0" w:line="240" w:lineRule="auto"/>
              <w:rPr>
                <w:rFonts w:ascii="Calibri" w:eastAsia="Times New Roman" w:hAnsi="Calibri" w:cs="Calibri"/>
                <w:color w:val="000000"/>
                <w:kern w:val="0"/>
                <w:sz w:val="20"/>
                <w:szCs w:val="20"/>
                <w:lang w:eastAsia="en-ID"/>
                <w14:ligatures w14:val="none"/>
              </w:rPr>
            </w:pPr>
            <w:r w:rsidRPr="00DB05A4">
              <w:rPr>
                <w:rFonts w:ascii="Calibri" w:eastAsia="Times New Roman" w:hAnsi="Calibri" w:cs="Calibri"/>
                <w:color w:val="000000"/>
                <w:kern w:val="0"/>
                <w:sz w:val="20"/>
                <w:szCs w:val="20"/>
                <w:lang w:eastAsia="en-ID"/>
                <w14:ligatures w14:val="none"/>
              </w:rPr>
              <w:t xml:space="preserve">Notification of </w:t>
            </w:r>
            <w:r w:rsidRPr="442A29E7">
              <w:rPr>
                <w:rFonts w:ascii="Calibri" w:eastAsia="Times New Roman" w:hAnsi="Calibri" w:cs="Calibri"/>
                <w:color w:val="000000" w:themeColor="text1"/>
                <w:sz w:val="20"/>
                <w:szCs w:val="20"/>
                <w:lang w:eastAsia="en-ID"/>
              </w:rPr>
              <w:t>Full Paper</w:t>
            </w:r>
            <w:r w:rsidRPr="00DB05A4">
              <w:rPr>
                <w:rFonts w:ascii="Calibri" w:eastAsia="Times New Roman" w:hAnsi="Calibri" w:cs="Calibri"/>
                <w:color w:val="000000"/>
                <w:kern w:val="0"/>
                <w:sz w:val="20"/>
                <w:szCs w:val="20"/>
                <w:lang w:eastAsia="en-ID"/>
                <w14:ligatures w14:val="none"/>
              </w:rPr>
              <w:t xml:space="preserve"> </w:t>
            </w:r>
            <w:r w:rsidRPr="442A29E7">
              <w:rPr>
                <w:rFonts w:ascii="Calibri" w:eastAsia="Times New Roman" w:hAnsi="Calibri" w:cs="Calibri"/>
                <w:color w:val="000000" w:themeColor="text1"/>
                <w:sz w:val="20"/>
                <w:szCs w:val="20"/>
                <w:lang w:eastAsia="en-ID"/>
              </w:rPr>
              <w:t>Acceptance/ Selected Speakers</w:t>
            </w:r>
          </w:p>
        </w:tc>
        <w:tc>
          <w:tcPr>
            <w:tcW w:w="1984" w:type="dxa"/>
            <w:shd w:val="clear" w:color="auto" w:fill="auto"/>
            <w:vAlign w:val="center"/>
            <w:hideMark/>
          </w:tcPr>
          <w:p w14:paraId="288D171D" w14:textId="7FED1D3B" w:rsidR="008A097C" w:rsidRPr="00DB05A4" w:rsidRDefault="008A097C" w:rsidP="00DB05A4">
            <w:pPr>
              <w:spacing w:after="0" w:line="240" w:lineRule="auto"/>
              <w:rPr>
                <w:rFonts w:ascii="Calibri" w:eastAsia="Times New Roman" w:hAnsi="Calibri" w:cs="Calibri"/>
                <w:color w:val="000000"/>
                <w:kern w:val="0"/>
                <w:sz w:val="20"/>
                <w:szCs w:val="20"/>
                <w:lang w:eastAsia="en-ID"/>
                <w14:ligatures w14:val="none"/>
              </w:rPr>
            </w:pPr>
            <w:r w:rsidRPr="00DB05A4">
              <w:rPr>
                <w:rFonts w:ascii="Calibri" w:eastAsia="Times New Roman" w:hAnsi="Calibri" w:cs="Calibri"/>
                <w:color w:val="000000"/>
                <w:kern w:val="0"/>
                <w:sz w:val="20"/>
                <w:szCs w:val="20"/>
                <w:lang w:eastAsia="en-ID"/>
                <w14:ligatures w14:val="none"/>
              </w:rPr>
              <w:t>Generally, within four weeks</w:t>
            </w:r>
          </w:p>
        </w:tc>
        <w:tc>
          <w:tcPr>
            <w:tcW w:w="1155" w:type="dxa"/>
            <w:shd w:val="clear" w:color="auto" w:fill="auto"/>
            <w:noWrap/>
            <w:vAlign w:val="bottom"/>
            <w:hideMark/>
          </w:tcPr>
          <w:p w14:paraId="4BE2A3A3"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r w:rsidRPr="00DB05A4">
              <w:rPr>
                <w:rFonts w:ascii="Aptos Narrow" w:eastAsia="Times New Roman" w:hAnsi="Aptos Narrow" w:cs="Times New Roman"/>
                <w:color w:val="000000"/>
                <w:kern w:val="0"/>
                <w:sz w:val="20"/>
                <w:szCs w:val="20"/>
                <w:lang w:eastAsia="en-ID"/>
                <w14:ligatures w14:val="none"/>
              </w:rPr>
              <w:t> </w:t>
            </w:r>
          </w:p>
        </w:tc>
        <w:tc>
          <w:tcPr>
            <w:tcW w:w="1113" w:type="dxa"/>
            <w:shd w:val="clear" w:color="auto" w:fill="1F3864" w:themeFill="accent1" w:themeFillShade="80"/>
            <w:noWrap/>
            <w:vAlign w:val="bottom"/>
            <w:hideMark/>
          </w:tcPr>
          <w:p w14:paraId="50AC74C3"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r w:rsidRPr="00DB05A4">
              <w:rPr>
                <w:rFonts w:ascii="Aptos Narrow" w:eastAsia="Times New Roman" w:hAnsi="Aptos Narrow" w:cs="Times New Roman"/>
                <w:color w:val="000000"/>
                <w:kern w:val="0"/>
                <w:sz w:val="20"/>
                <w:szCs w:val="20"/>
                <w:lang w:eastAsia="en-ID"/>
                <w14:ligatures w14:val="none"/>
              </w:rPr>
              <w:t> </w:t>
            </w:r>
          </w:p>
        </w:tc>
        <w:tc>
          <w:tcPr>
            <w:tcW w:w="1418" w:type="dxa"/>
            <w:shd w:val="clear" w:color="auto" w:fill="auto"/>
            <w:noWrap/>
            <w:vAlign w:val="bottom"/>
            <w:hideMark/>
          </w:tcPr>
          <w:p w14:paraId="030840CC"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r w:rsidRPr="00DB05A4">
              <w:rPr>
                <w:rFonts w:ascii="Aptos Narrow" w:eastAsia="Times New Roman" w:hAnsi="Aptos Narrow" w:cs="Times New Roman"/>
                <w:color w:val="000000"/>
                <w:kern w:val="0"/>
                <w:sz w:val="20"/>
                <w:szCs w:val="20"/>
                <w:lang w:eastAsia="en-ID"/>
                <w14:ligatures w14:val="none"/>
              </w:rPr>
              <w:t> </w:t>
            </w:r>
          </w:p>
        </w:tc>
      </w:tr>
      <w:tr w:rsidR="008A097C" w:rsidRPr="00DB05A4" w14:paraId="3B28DE59" w14:textId="77777777" w:rsidTr="749DEC09">
        <w:trPr>
          <w:trHeight w:val="20"/>
        </w:trPr>
        <w:tc>
          <w:tcPr>
            <w:tcW w:w="3681" w:type="dxa"/>
            <w:shd w:val="clear" w:color="auto" w:fill="auto"/>
            <w:vAlign w:val="center"/>
            <w:hideMark/>
          </w:tcPr>
          <w:p w14:paraId="2099C8BC" w14:textId="47A08D8C" w:rsidR="008A097C" w:rsidRPr="00DB05A4" w:rsidRDefault="008A097C" w:rsidP="00DB05A4">
            <w:pPr>
              <w:spacing w:after="0" w:line="240" w:lineRule="auto"/>
              <w:rPr>
                <w:rFonts w:ascii="Calibri" w:eastAsia="Times New Roman" w:hAnsi="Calibri" w:cs="Calibri"/>
                <w:color w:val="000000"/>
                <w:kern w:val="0"/>
                <w:sz w:val="20"/>
                <w:szCs w:val="20"/>
                <w:lang w:eastAsia="en-ID"/>
                <w14:ligatures w14:val="none"/>
              </w:rPr>
            </w:pPr>
            <w:r w:rsidRPr="00DB05A4">
              <w:rPr>
                <w:rFonts w:ascii="Calibri" w:eastAsia="Times New Roman" w:hAnsi="Calibri" w:cs="Calibri"/>
                <w:color w:val="000000"/>
                <w:kern w:val="0"/>
                <w:sz w:val="20"/>
                <w:szCs w:val="20"/>
                <w:lang w:eastAsia="en-ID"/>
                <w14:ligatures w14:val="none"/>
              </w:rPr>
              <w:t>Presentation Slides and Poster/Materials Submission Deadline</w:t>
            </w:r>
          </w:p>
        </w:tc>
        <w:tc>
          <w:tcPr>
            <w:tcW w:w="1984" w:type="dxa"/>
            <w:shd w:val="clear" w:color="auto" w:fill="auto"/>
            <w:vAlign w:val="center"/>
            <w:hideMark/>
          </w:tcPr>
          <w:p w14:paraId="46B69F73" w14:textId="5E738DAF" w:rsidR="008A097C" w:rsidRPr="00DB05A4" w:rsidRDefault="008A097C" w:rsidP="00DB05A4">
            <w:pPr>
              <w:spacing w:after="0" w:line="240" w:lineRule="auto"/>
              <w:rPr>
                <w:rFonts w:ascii="Calibri" w:eastAsia="Times New Roman" w:hAnsi="Calibri" w:cs="Calibri"/>
                <w:color w:val="000000"/>
                <w:kern w:val="0"/>
                <w:sz w:val="20"/>
                <w:szCs w:val="20"/>
                <w:lang w:eastAsia="en-ID"/>
                <w14:ligatures w14:val="none"/>
              </w:rPr>
            </w:pPr>
            <w:r w:rsidRPr="00DB05A4">
              <w:rPr>
                <w:rFonts w:ascii="Calibri" w:eastAsia="Times New Roman" w:hAnsi="Calibri" w:cs="Calibri"/>
                <w:color w:val="000000"/>
                <w:kern w:val="0"/>
                <w:sz w:val="20"/>
                <w:szCs w:val="20"/>
                <w:lang w:eastAsia="en-ID"/>
                <w14:ligatures w14:val="none"/>
              </w:rPr>
              <w:t>22 August 2025</w:t>
            </w:r>
          </w:p>
        </w:tc>
        <w:tc>
          <w:tcPr>
            <w:tcW w:w="1155" w:type="dxa"/>
            <w:shd w:val="clear" w:color="auto" w:fill="auto"/>
            <w:noWrap/>
            <w:vAlign w:val="bottom"/>
            <w:hideMark/>
          </w:tcPr>
          <w:p w14:paraId="6643A9F2"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r w:rsidRPr="00DB05A4">
              <w:rPr>
                <w:rFonts w:ascii="Aptos Narrow" w:eastAsia="Times New Roman" w:hAnsi="Aptos Narrow" w:cs="Times New Roman"/>
                <w:color w:val="000000"/>
                <w:kern w:val="0"/>
                <w:sz w:val="20"/>
                <w:szCs w:val="20"/>
                <w:lang w:eastAsia="en-ID"/>
                <w14:ligatures w14:val="none"/>
              </w:rPr>
              <w:t> </w:t>
            </w:r>
          </w:p>
        </w:tc>
        <w:tc>
          <w:tcPr>
            <w:tcW w:w="1113" w:type="dxa"/>
            <w:shd w:val="clear" w:color="auto" w:fill="1F3864" w:themeFill="accent1" w:themeFillShade="80"/>
            <w:noWrap/>
            <w:vAlign w:val="bottom"/>
            <w:hideMark/>
          </w:tcPr>
          <w:p w14:paraId="4CDBA5BE"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r w:rsidRPr="00DB05A4">
              <w:rPr>
                <w:rFonts w:ascii="Aptos Narrow" w:eastAsia="Times New Roman" w:hAnsi="Aptos Narrow" w:cs="Times New Roman"/>
                <w:color w:val="000000"/>
                <w:kern w:val="0"/>
                <w:sz w:val="20"/>
                <w:szCs w:val="20"/>
                <w:lang w:eastAsia="en-ID"/>
                <w14:ligatures w14:val="none"/>
              </w:rPr>
              <w:t> </w:t>
            </w:r>
          </w:p>
        </w:tc>
        <w:tc>
          <w:tcPr>
            <w:tcW w:w="1418" w:type="dxa"/>
            <w:shd w:val="clear" w:color="auto" w:fill="auto"/>
            <w:noWrap/>
            <w:vAlign w:val="bottom"/>
            <w:hideMark/>
          </w:tcPr>
          <w:p w14:paraId="21725B64"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r w:rsidRPr="00DB05A4">
              <w:rPr>
                <w:rFonts w:ascii="Aptos Narrow" w:eastAsia="Times New Roman" w:hAnsi="Aptos Narrow" w:cs="Times New Roman"/>
                <w:color w:val="000000"/>
                <w:kern w:val="0"/>
                <w:sz w:val="20"/>
                <w:szCs w:val="20"/>
                <w:lang w:eastAsia="en-ID"/>
                <w14:ligatures w14:val="none"/>
              </w:rPr>
              <w:t> </w:t>
            </w:r>
          </w:p>
        </w:tc>
      </w:tr>
      <w:tr w:rsidR="008A097C" w:rsidRPr="00DB05A4" w14:paraId="0E93C8AE" w14:textId="77777777" w:rsidTr="749DEC09">
        <w:trPr>
          <w:trHeight w:val="20"/>
        </w:trPr>
        <w:tc>
          <w:tcPr>
            <w:tcW w:w="3681" w:type="dxa"/>
            <w:shd w:val="clear" w:color="auto" w:fill="auto"/>
            <w:vAlign w:val="center"/>
            <w:hideMark/>
          </w:tcPr>
          <w:p w14:paraId="40314937" w14:textId="77777777" w:rsidR="008A097C" w:rsidRPr="00DB05A4" w:rsidRDefault="008A097C" w:rsidP="00DB05A4">
            <w:pPr>
              <w:spacing w:after="0" w:line="240" w:lineRule="auto"/>
              <w:rPr>
                <w:rFonts w:ascii="Calibri" w:eastAsia="Times New Roman" w:hAnsi="Calibri" w:cs="Calibri"/>
                <w:color w:val="000000"/>
                <w:kern w:val="0"/>
                <w:sz w:val="20"/>
                <w:szCs w:val="20"/>
                <w:lang w:eastAsia="en-ID"/>
                <w14:ligatures w14:val="none"/>
              </w:rPr>
            </w:pPr>
            <w:r w:rsidRPr="00DB05A4">
              <w:rPr>
                <w:rFonts w:ascii="Calibri" w:eastAsia="Times New Roman" w:hAnsi="Calibri" w:cs="Calibri"/>
                <w:color w:val="000000"/>
                <w:kern w:val="0"/>
                <w:sz w:val="20"/>
                <w:szCs w:val="20"/>
                <w:lang w:eastAsia="en-ID"/>
                <w14:ligatures w14:val="none"/>
              </w:rPr>
              <w:t>Congress Dates</w:t>
            </w:r>
          </w:p>
        </w:tc>
        <w:tc>
          <w:tcPr>
            <w:tcW w:w="1984" w:type="dxa"/>
            <w:shd w:val="clear" w:color="auto" w:fill="auto"/>
            <w:vAlign w:val="center"/>
            <w:hideMark/>
          </w:tcPr>
          <w:p w14:paraId="3DD298C6" w14:textId="260DA239" w:rsidR="008A097C" w:rsidRPr="00DB05A4" w:rsidRDefault="008A097C" w:rsidP="00DB05A4">
            <w:pPr>
              <w:spacing w:after="0" w:line="240" w:lineRule="auto"/>
              <w:rPr>
                <w:rFonts w:ascii="Calibri" w:eastAsia="Times New Roman" w:hAnsi="Calibri" w:cs="Calibri"/>
                <w:color w:val="000000"/>
                <w:kern w:val="0"/>
                <w:sz w:val="20"/>
                <w:szCs w:val="20"/>
                <w:lang w:eastAsia="en-ID"/>
                <w14:ligatures w14:val="none"/>
              </w:rPr>
            </w:pPr>
            <w:r w:rsidRPr="00DB05A4">
              <w:rPr>
                <w:rFonts w:ascii="Calibri" w:eastAsia="Times New Roman" w:hAnsi="Calibri" w:cs="Calibri"/>
                <w:color w:val="000000"/>
                <w:kern w:val="0"/>
                <w:sz w:val="20"/>
                <w:szCs w:val="20"/>
                <w:lang w:eastAsia="en-ID"/>
                <w14:ligatures w14:val="none"/>
              </w:rPr>
              <w:t xml:space="preserve">24-26 </w:t>
            </w:r>
            <w:r w:rsidRPr="003D69E0">
              <w:rPr>
                <w:rFonts w:ascii="Calibri" w:eastAsia="Times New Roman" w:hAnsi="Calibri" w:cs="Calibri"/>
                <w:color w:val="000000"/>
                <w:kern w:val="0"/>
                <w:sz w:val="20"/>
                <w:szCs w:val="20"/>
                <w:lang w:eastAsia="en-ID"/>
                <w14:ligatures w14:val="none"/>
              </w:rPr>
              <w:t>Sept</w:t>
            </w:r>
            <w:r w:rsidRPr="00DB05A4">
              <w:rPr>
                <w:rFonts w:ascii="Calibri" w:eastAsia="Times New Roman" w:hAnsi="Calibri" w:cs="Calibri"/>
                <w:color w:val="000000"/>
                <w:kern w:val="0"/>
                <w:sz w:val="20"/>
                <w:szCs w:val="20"/>
                <w:lang w:eastAsia="en-ID"/>
                <w14:ligatures w14:val="none"/>
              </w:rPr>
              <w:t xml:space="preserve"> 2025</w:t>
            </w:r>
          </w:p>
        </w:tc>
        <w:tc>
          <w:tcPr>
            <w:tcW w:w="1155" w:type="dxa"/>
            <w:shd w:val="clear" w:color="auto" w:fill="auto"/>
            <w:noWrap/>
            <w:vAlign w:val="bottom"/>
            <w:hideMark/>
          </w:tcPr>
          <w:p w14:paraId="23B16638"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r w:rsidRPr="00DB05A4">
              <w:rPr>
                <w:rFonts w:ascii="Aptos Narrow" w:eastAsia="Times New Roman" w:hAnsi="Aptos Narrow" w:cs="Times New Roman"/>
                <w:color w:val="000000"/>
                <w:kern w:val="0"/>
                <w:sz w:val="20"/>
                <w:szCs w:val="20"/>
                <w:lang w:eastAsia="en-ID"/>
                <w14:ligatures w14:val="none"/>
              </w:rPr>
              <w:t> </w:t>
            </w:r>
          </w:p>
        </w:tc>
        <w:tc>
          <w:tcPr>
            <w:tcW w:w="1113" w:type="dxa"/>
            <w:shd w:val="clear" w:color="auto" w:fill="auto"/>
            <w:noWrap/>
            <w:vAlign w:val="bottom"/>
            <w:hideMark/>
          </w:tcPr>
          <w:p w14:paraId="67AB3E8B"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r w:rsidRPr="00DB05A4">
              <w:rPr>
                <w:rFonts w:ascii="Aptos Narrow" w:eastAsia="Times New Roman" w:hAnsi="Aptos Narrow" w:cs="Times New Roman"/>
                <w:color w:val="000000"/>
                <w:kern w:val="0"/>
                <w:sz w:val="20"/>
                <w:szCs w:val="20"/>
                <w:lang w:eastAsia="en-ID"/>
                <w14:ligatures w14:val="none"/>
              </w:rPr>
              <w:t> </w:t>
            </w:r>
          </w:p>
        </w:tc>
        <w:tc>
          <w:tcPr>
            <w:tcW w:w="1418" w:type="dxa"/>
            <w:shd w:val="clear" w:color="auto" w:fill="0D3512"/>
            <w:noWrap/>
            <w:vAlign w:val="bottom"/>
            <w:hideMark/>
          </w:tcPr>
          <w:p w14:paraId="2F8B5049" w14:textId="77777777" w:rsidR="008A097C" w:rsidRPr="00DB05A4" w:rsidRDefault="008A097C" w:rsidP="00DB05A4">
            <w:pPr>
              <w:spacing w:after="0" w:line="240" w:lineRule="auto"/>
              <w:rPr>
                <w:rFonts w:ascii="Aptos Narrow" w:eastAsia="Times New Roman" w:hAnsi="Aptos Narrow" w:cs="Times New Roman"/>
                <w:color w:val="000000"/>
                <w:kern w:val="0"/>
                <w:sz w:val="20"/>
                <w:szCs w:val="20"/>
                <w:lang w:eastAsia="en-ID"/>
                <w14:ligatures w14:val="none"/>
              </w:rPr>
            </w:pPr>
            <w:r w:rsidRPr="00DB05A4">
              <w:rPr>
                <w:rFonts w:ascii="Aptos Narrow" w:eastAsia="Times New Roman" w:hAnsi="Aptos Narrow" w:cs="Times New Roman"/>
                <w:color w:val="000000"/>
                <w:kern w:val="0"/>
                <w:sz w:val="20"/>
                <w:szCs w:val="20"/>
                <w:lang w:eastAsia="en-ID"/>
                <w14:ligatures w14:val="none"/>
              </w:rPr>
              <w:t> </w:t>
            </w:r>
          </w:p>
        </w:tc>
      </w:tr>
    </w:tbl>
    <w:p w14:paraId="147645CC" w14:textId="77777777" w:rsidR="00B65D0D" w:rsidRDefault="00B65D0D"/>
    <w:p w14:paraId="01865FB3" w14:textId="77777777" w:rsidR="00787D87" w:rsidRPr="00787D87" w:rsidRDefault="00787D87" w:rsidP="00787D87">
      <w:pPr>
        <w:pStyle w:val="Heading2"/>
      </w:pPr>
      <w:r w:rsidRPr="00787D87">
        <w:t>Registration and Fees</w:t>
      </w:r>
    </w:p>
    <w:p w14:paraId="1B1216B1" w14:textId="77777777" w:rsidR="00787D87" w:rsidRPr="00787D87" w:rsidRDefault="00787D87" w:rsidP="00787D87">
      <w:r w:rsidRPr="00787D87">
        <w:t xml:space="preserve">All selected speakers will receive </w:t>
      </w:r>
      <w:r w:rsidRPr="00787D87">
        <w:rPr>
          <w:b/>
          <w:bCs/>
        </w:rPr>
        <w:t>full benefits</w:t>
      </w:r>
      <w:r w:rsidRPr="00787D87">
        <w:t>, while additional attendees (co-authors or companions) must register and pay the designated fee.</w:t>
      </w:r>
    </w:p>
    <w:p w14:paraId="587E579D" w14:textId="77777777" w:rsidR="00787D87" w:rsidRDefault="00787D87" w:rsidP="00787D87">
      <w:pPr>
        <w:pStyle w:val="ListParagraph"/>
        <w:numPr>
          <w:ilvl w:val="0"/>
          <w:numId w:val="26"/>
        </w:numPr>
        <w:rPr>
          <w:b/>
          <w:bCs/>
        </w:rPr>
      </w:pPr>
      <w:r w:rsidRPr="00787D87">
        <w:rPr>
          <w:b/>
          <w:bCs/>
        </w:rPr>
        <w:t>Benefits for Accepted Presenters</w:t>
      </w:r>
    </w:p>
    <w:p w14:paraId="21AAA767" w14:textId="50EFB175" w:rsidR="00787D87" w:rsidRPr="00787D87" w:rsidRDefault="00787D87" w:rsidP="00787D87">
      <w:pPr>
        <w:pStyle w:val="ListParagraph"/>
        <w:rPr>
          <w:b/>
          <w:bCs/>
        </w:rPr>
      </w:pPr>
      <w:r>
        <w:t xml:space="preserve">If the </w:t>
      </w:r>
      <w:r w:rsidRPr="442A29E7">
        <w:rPr>
          <w:b/>
          <w:bCs/>
        </w:rPr>
        <w:t>full paper is selected</w:t>
      </w:r>
      <w:r>
        <w:t>, the main presenter will receive:</w:t>
      </w:r>
    </w:p>
    <w:p w14:paraId="3D05970A" w14:textId="77777777" w:rsidR="00787D87" w:rsidRDefault="00787D87" w:rsidP="00787D87">
      <w:pPr>
        <w:pStyle w:val="ListParagraph"/>
        <w:numPr>
          <w:ilvl w:val="0"/>
          <w:numId w:val="24"/>
        </w:numPr>
      </w:pPr>
      <w:r>
        <w:t>Free access to all conference sessions, materials, and networking events.</w:t>
      </w:r>
    </w:p>
    <w:p w14:paraId="14603713" w14:textId="7D21B364" w:rsidR="7C8DB9A5" w:rsidRDefault="7C8DB9A5" w:rsidP="442A29E7">
      <w:pPr>
        <w:pStyle w:val="ListParagraph"/>
        <w:numPr>
          <w:ilvl w:val="0"/>
          <w:numId w:val="24"/>
        </w:numPr>
      </w:pPr>
      <w:r>
        <w:t>Economy-class return airfare support from the presenter’s home country to Incheon International Airport.</w:t>
      </w:r>
    </w:p>
    <w:p w14:paraId="1A803167" w14:textId="735E71AF" w:rsidR="00787D87" w:rsidRDefault="00787D87" w:rsidP="00787D87">
      <w:pPr>
        <w:pStyle w:val="ListParagraph"/>
        <w:numPr>
          <w:ilvl w:val="0"/>
          <w:numId w:val="24"/>
        </w:numPr>
      </w:pPr>
      <w:r>
        <w:t>Complimentary hotel accommodation in Goyang from 2</w:t>
      </w:r>
      <w:r w:rsidR="191277D7">
        <w:t>4</w:t>
      </w:r>
      <w:r>
        <w:t>-26 September 2025.</w:t>
      </w:r>
    </w:p>
    <w:p w14:paraId="42F3FCEE" w14:textId="316878B4" w:rsidR="00787D87" w:rsidRDefault="00787D87" w:rsidP="00787D87">
      <w:pPr>
        <w:pStyle w:val="ListParagraph"/>
        <w:numPr>
          <w:ilvl w:val="0"/>
          <w:numId w:val="24"/>
        </w:numPr>
      </w:pPr>
      <w:r>
        <w:t>Free meals during the event (24-26 September 2025).</w:t>
      </w:r>
    </w:p>
    <w:p w14:paraId="5E09ABB7" w14:textId="2D73B3CF" w:rsidR="00787D87" w:rsidRDefault="00787D87" w:rsidP="00787D87">
      <w:pPr>
        <w:pStyle w:val="ListParagraph"/>
        <w:numPr>
          <w:ilvl w:val="0"/>
          <w:numId w:val="24"/>
        </w:numPr>
      </w:pPr>
      <w:r>
        <w:t>Official invitation letter and acceptance letter for administrative purposes.</w:t>
      </w:r>
    </w:p>
    <w:p w14:paraId="0F825A97" w14:textId="77777777" w:rsidR="00787D87" w:rsidRDefault="00787D87" w:rsidP="00787D87">
      <w:pPr>
        <w:pStyle w:val="ListParagraph"/>
        <w:numPr>
          <w:ilvl w:val="0"/>
          <w:numId w:val="26"/>
        </w:numPr>
        <w:rPr>
          <w:b/>
          <w:bCs/>
        </w:rPr>
      </w:pPr>
      <w:r w:rsidRPr="00787D87">
        <w:rPr>
          <w:b/>
          <w:bCs/>
        </w:rPr>
        <w:t>Fees for Additional Participants (Co-Authors/Companions)</w:t>
      </w:r>
    </w:p>
    <w:p w14:paraId="324D8723" w14:textId="5E7456BA" w:rsidR="00787D87" w:rsidRPr="00787D87" w:rsidRDefault="00787D87" w:rsidP="00787D87">
      <w:pPr>
        <w:pStyle w:val="ListParagraph"/>
        <w:rPr>
          <w:b/>
          <w:bCs/>
        </w:rPr>
      </w:pPr>
      <w:r>
        <w:t>Co-authors or accompanying persons who wish to attend must register and pay</w:t>
      </w:r>
      <w:r w:rsidR="5CA9B6B8">
        <w:t xml:space="preserve"> </w:t>
      </w:r>
      <w:r w:rsidR="5E15C8C3">
        <w:t>registration</w:t>
      </w:r>
      <w:r w:rsidR="5CA9B6B8">
        <w:t xml:space="preserve"> fee</w:t>
      </w:r>
      <w:r>
        <w:t>:</w:t>
      </w:r>
    </w:p>
    <w:tbl>
      <w:tblPr>
        <w:tblStyle w:val="TableGrid"/>
        <w:tblW w:w="8070" w:type="dxa"/>
        <w:tblInd w:w="817" w:type="dxa"/>
        <w:tblLayout w:type="fixed"/>
        <w:tblLook w:val="04A0" w:firstRow="1" w:lastRow="0" w:firstColumn="1" w:lastColumn="0" w:noHBand="0" w:noVBand="1"/>
      </w:tblPr>
      <w:tblGrid>
        <w:gridCol w:w="4515"/>
        <w:gridCol w:w="3555"/>
      </w:tblGrid>
      <w:tr w:rsidR="00787D87" w:rsidRPr="00787D87" w14:paraId="22BF5EFF" w14:textId="77777777" w:rsidTr="442A29E7">
        <w:trPr>
          <w:trHeight w:val="300"/>
        </w:trPr>
        <w:tc>
          <w:tcPr>
            <w:tcW w:w="4515" w:type="dxa"/>
            <w:shd w:val="clear" w:color="auto" w:fill="1F4E79" w:themeFill="accent5" w:themeFillShade="80"/>
            <w:hideMark/>
          </w:tcPr>
          <w:p w14:paraId="63462427" w14:textId="77777777" w:rsidR="00787D87" w:rsidRPr="00787D87" w:rsidRDefault="00787D87" w:rsidP="00787D87">
            <w:pPr>
              <w:rPr>
                <w:b/>
                <w:bCs/>
                <w:color w:val="FFFFFF" w:themeColor="background1"/>
              </w:rPr>
            </w:pPr>
            <w:r w:rsidRPr="00787D87">
              <w:rPr>
                <w:b/>
                <w:bCs/>
                <w:color w:val="FFFFFF" w:themeColor="background1"/>
              </w:rPr>
              <w:lastRenderedPageBreak/>
              <w:t>Category</w:t>
            </w:r>
          </w:p>
        </w:tc>
        <w:tc>
          <w:tcPr>
            <w:tcW w:w="3555" w:type="dxa"/>
            <w:shd w:val="clear" w:color="auto" w:fill="1F4E79" w:themeFill="accent5" w:themeFillShade="80"/>
            <w:hideMark/>
          </w:tcPr>
          <w:p w14:paraId="14E5CF3A" w14:textId="77777777" w:rsidR="00787D87" w:rsidRPr="00787D87" w:rsidRDefault="00787D87" w:rsidP="00787D87">
            <w:pPr>
              <w:rPr>
                <w:b/>
                <w:bCs/>
                <w:color w:val="FFFFFF" w:themeColor="background1"/>
              </w:rPr>
            </w:pPr>
            <w:r w:rsidRPr="00787D87">
              <w:rPr>
                <w:b/>
                <w:bCs/>
                <w:color w:val="FFFFFF" w:themeColor="background1"/>
              </w:rPr>
              <w:t>Fee</w:t>
            </w:r>
          </w:p>
        </w:tc>
      </w:tr>
      <w:tr w:rsidR="00787D87" w:rsidRPr="00787D87" w14:paraId="01275171" w14:textId="77777777" w:rsidTr="442A29E7">
        <w:trPr>
          <w:trHeight w:val="300"/>
        </w:trPr>
        <w:tc>
          <w:tcPr>
            <w:tcW w:w="4515" w:type="dxa"/>
            <w:hideMark/>
          </w:tcPr>
          <w:p w14:paraId="22AC3295" w14:textId="1A91E372" w:rsidR="00787D87" w:rsidRPr="00787D87" w:rsidRDefault="00787D87" w:rsidP="442A29E7">
            <w:pPr>
              <w:rPr>
                <w:b/>
                <w:bCs/>
              </w:rPr>
            </w:pPr>
            <w:r w:rsidRPr="442A29E7">
              <w:rPr>
                <w:b/>
                <w:bCs/>
              </w:rPr>
              <w:t>Co-Author/Companion</w:t>
            </w:r>
            <w:r w:rsidR="1DC91BFD" w:rsidRPr="442A29E7">
              <w:rPr>
                <w:b/>
                <w:bCs/>
              </w:rPr>
              <w:t xml:space="preserve"> - </w:t>
            </w:r>
            <w:r w:rsidR="79AA3617" w:rsidRPr="442A29E7">
              <w:rPr>
                <w:b/>
                <w:bCs/>
              </w:rPr>
              <w:t>Early Registration</w:t>
            </w:r>
          </w:p>
        </w:tc>
        <w:tc>
          <w:tcPr>
            <w:tcW w:w="3555" w:type="dxa"/>
            <w:hideMark/>
          </w:tcPr>
          <w:p w14:paraId="431D3EB8" w14:textId="6C41707C" w:rsidR="00787D87" w:rsidRPr="00787D87" w:rsidRDefault="00787D87" w:rsidP="442A29E7">
            <w:pPr>
              <w:rPr>
                <w:b/>
                <w:bCs/>
              </w:rPr>
            </w:pPr>
            <w:r w:rsidRPr="442A29E7">
              <w:rPr>
                <w:b/>
                <w:bCs/>
              </w:rPr>
              <w:t>USD 1</w:t>
            </w:r>
            <w:r w:rsidR="0C56FED4" w:rsidRPr="442A29E7">
              <w:rPr>
                <w:b/>
                <w:bCs/>
              </w:rPr>
              <w:t>20</w:t>
            </w:r>
          </w:p>
        </w:tc>
      </w:tr>
      <w:tr w:rsidR="442A29E7" w14:paraId="7618BE30" w14:textId="77777777" w:rsidTr="442A29E7">
        <w:trPr>
          <w:trHeight w:val="300"/>
        </w:trPr>
        <w:tc>
          <w:tcPr>
            <w:tcW w:w="4515" w:type="dxa"/>
            <w:hideMark/>
          </w:tcPr>
          <w:p w14:paraId="775C6A88" w14:textId="6539372D" w:rsidR="442A29E7" w:rsidRDefault="442A29E7" w:rsidP="442A29E7">
            <w:pPr>
              <w:rPr>
                <w:b/>
                <w:bCs/>
              </w:rPr>
            </w:pPr>
            <w:r w:rsidRPr="442A29E7">
              <w:rPr>
                <w:b/>
                <w:bCs/>
              </w:rPr>
              <w:t>Co-Author/Companion</w:t>
            </w:r>
            <w:r w:rsidR="0A40F134" w:rsidRPr="442A29E7">
              <w:rPr>
                <w:b/>
                <w:bCs/>
              </w:rPr>
              <w:t xml:space="preserve"> - </w:t>
            </w:r>
            <w:r w:rsidR="1301BDC2" w:rsidRPr="442A29E7">
              <w:rPr>
                <w:b/>
                <w:bCs/>
              </w:rPr>
              <w:t>Regular Registration</w:t>
            </w:r>
          </w:p>
        </w:tc>
        <w:tc>
          <w:tcPr>
            <w:tcW w:w="3555" w:type="dxa"/>
            <w:hideMark/>
          </w:tcPr>
          <w:p w14:paraId="38634B65" w14:textId="25D8B505" w:rsidR="442A29E7" w:rsidRDefault="442A29E7">
            <w:r w:rsidRPr="442A29E7">
              <w:rPr>
                <w:b/>
                <w:bCs/>
              </w:rPr>
              <w:t>USD 1</w:t>
            </w:r>
            <w:r w:rsidR="3B68FEE5" w:rsidRPr="442A29E7">
              <w:rPr>
                <w:b/>
                <w:bCs/>
              </w:rPr>
              <w:t>5</w:t>
            </w:r>
            <w:r w:rsidRPr="442A29E7">
              <w:rPr>
                <w:b/>
                <w:bCs/>
              </w:rPr>
              <w:t>0</w:t>
            </w:r>
          </w:p>
        </w:tc>
      </w:tr>
    </w:tbl>
    <w:p w14:paraId="77BFF737" w14:textId="3EA20DB6" w:rsidR="66257AB1" w:rsidRDefault="66257AB1" w:rsidP="442A29E7">
      <w:pPr>
        <w:pStyle w:val="ListParagraph"/>
        <w:numPr>
          <w:ilvl w:val="0"/>
          <w:numId w:val="24"/>
        </w:numPr>
      </w:pPr>
      <w:r>
        <w:t xml:space="preserve">What’s </w:t>
      </w:r>
      <w:r w:rsidR="00D43419">
        <w:t>Included</w:t>
      </w:r>
      <w:r>
        <w:t xml:space="preserve"> Networking reception and dinner; Lunch and coffee breaks; City tour; Souvenir</w:t>
      </w:r>
    </w:p>
    <w:p w14:paraId="5C6C1F1C" w14:textId="39D1A552" w:rsidR="00787D87" w:rsidRPr="00787D87" w:rsidRDefault="00787D87" w:rsidP="00787D87">
      <w:pPr>
        <w:pStyle w:val="ListParagraph"/>
        <w:numPr>
          <w:ilvl w:val="0"/>
          <w:numId w:val="24"/>
        </w:numPr>
      </w:pPr>
      <w:r>
        <w:t>This fee does not cover airfare</w:t>
      </w:r>
      <w:r w:rsidR="7F81F81D">
        <w:t xml:space="preserve">, hotel, meal </w:t>
      </w:r>
      <w:r>
        <w:t>or other personal expenses.</w:t>
      </w:r>
    </w:p>
    <w:p w14:paraId="31DFAFAA" w14:textId="559E21EC" w:rsidR="749DEC09" w:rsidRDefault="749DEC09" w:rsidP="749DEC09">
      <w:pPr>
        <w:pStyle w:val="ListParagraph"/>
        <w:rPr>
          <w:b/>
          <w:bCs/>
        </w:rPr>
      </w:pPr>
    </w:p>
    <w:p w14:paraId="37659FBC" w14:textId="77777777" w:rsidR="00787D87" w:rsidRDefault="00787D87" w:rsidP="00787D87">
      <w:pPr>
        <w:pStyle w:val="ListParagraph"/>
        <w:numPr>
          <w:ilvl w:val="0"/>
          <w:numId w:val="26"/>
        </w:numPr>
        <w:rPr>
          <w:b/>
          <w:bCs/>
        </w:rPr>
      </w:pPr>
      <w:r w:rsidRPr="00787D87">
        <w:rPr>
          <w:b/>
          <w:bCs/>
        </w:rPr>
        <w:t>Payment Methods</w:t>
      </w:r>
    </w:p>
    <w:p w14:paraId="6068F7A0" w14:textId="536A7DB6" w:rsidR="00787D87" w:rsidRPr="00787D87" w:rsidRDefault="00787D87" w:rsidP="00787D87">
      <w:pPr>
        <w:pStyle w:val="ListParagraph"/>
        <w:rPr>
          <w:b/>
          <w:bCs/>
        </w:rPr>
      </w:pPr>
      <w:r w:rsidRPr="00787D87">
        <w:t>Participants can pay via:</w:t>
      </w:r>
    </w:p>
    <w:p w14:paraId="35F092F0" w14:textId="77777777" w:rsidR="00787D87" w:rsidRPr="00787D87" w:rsidRDefault="00787D87" w:rsidP="00787D87">
      <w:pPr>
        <w:pStyle w:val="ListParagraph"/>
        <w:numPr>
          <w:ilvl w:val="0"/>
          <w:numId w:val="24"/>
        </w:numPr>
      </w:pPr>
      <w:r w:rsidRPr="00787D87">
        <w:rPr>
          <w:b/>
          <w:bCs/>
        </w:rPr>
        <w:t>Bank Transfer:</w:t>
      </w:r>
      <w:r w:rsidRPr="00787D87">
        <w:t xml:space="preserve"> Payment details will be provided upon registration.</w:t>
      </w:r>
    </w:p>
    <w:p w14:paraId="6941D22F" w14:textId="77777777" w:rsidR="00787D87" w:rsidRPr="00787D87" w:rsidRDefault="00787D87" w:rsidP="00787D87">
      <w:pPr>
        <w:pStyle w:val="ListParagraph"/>
        <w:numPr>
          <w:ilvl w:val="0"/>
          <w:numId w:val="24"/>
        </w:numPr>
      </w:pPr>
      <w:r w:rsidRPr="00787D87">
        <w:rPr>
          <w:b/>
          <w:bCs/>
        </w:rPr>
        <w:t>Credit/Debit Card:</w:t>
      </w:r>
      <w:r w:rsidRPr="00787D87">
        <w:t xml:space="preserve"> Available via the online registration system.</w:t>
      </w:r>
    </w:p>
    <w:p w14:paraId="1D293C7A" w14:textId="5B7E86FA" w:rsidR="00787D87" w:rsidRPr="00787D87" w:rsidRDefault="00787D87" w:rsidP="00787D87">
      <w:pPr>
        <w:ind w:left="720"/>
      </w:pPr>
      <w:r>
        <w:t xml:space="preserve">For </w:t>
      </w:r>
      <w:r w:rsidR="6A6D23BD">
        <w:t xml:space="preserve">registration, please visit: </w:t>
      </w:r>
      <w:hyperlink r:id="rId12">
        <w:r w:rsidR="6A6D23BD" w:rsidRPr="442A29E7">
          <w:rPr>
            <w:rStyle w:val="Hyperlink"/>
          </w:rPr>
          <w:t>https://goyang2025.uclg-aspac.kr/en/how-to-register/</w:t>
        </w:r>
      </w:hyperlink>
    </w:p>
    <w:p w14:paraId="0361C690" w14:textId="422D98DF" w:rsidR="442A29E7" w:rsidRDefault="442A29E7" w:rsidP="442A29E7">
      <w:pPr>
        <w:ind w:left="720"/>
      </w:pPr>
    </w:p>
    <w:p w14:paraId="48FDD663" w14:textId="77777777" w:rsidR="00787D87" w:rsidRDefault="00787D87"/>
    <w:p w14:paraId="2E434423" w14:textId="77777777" w:rsidR="00B65D0D" w:rsidRPr="00B65D0D" w:rsidRDefault="00B65D0D" w:rsidP="00B65D0D">
      <w:pPr>
        <w:pStyle w:val="Heading2"/>
      </w:pPr>
      <w:r w:rsidRPr="00B65D0D">
        <w:t>Final Notes</w:t>
      </w:r>
    </w:p>
    <w:p w14:paraId="6599C822" w14:textId="77777777" w:rsidR="00B65D0D" w:rsidRPr="00B65D0D" w:rsidRDefault="00B65D0D" w:rsidP="00B65D0D">
      <w:pPr>
        <w:numPr>
          <w:ilvl w:val="0"/>
          <w:numId w:val="20"/>
        </w:numPr>
      </w:pPr>
      <w:r w:rsidRPr="00B65D0D">
        <w:rPr>
          <w:b/>
          <w:bCs/>
        </w:rPr>
        <w:t>Plagiarism is strictly prohibited</w:t>
      </w:r>
      <w:r w:rsidRPr="00B65D0D">
        <w:t xml:space="preserve"> – all submitted papers will be checked for originality.</w:t>
      </w:r>
    </w:p>
    <w:p w14:paraId="579F9CE3" w14:textId="77777777" w:rsidR="00B65D0D" w:rsidRPr="00B65D0D" w:rsidRDefault="00B65D0D" w:rsidP="00B65D0D">
      <w:pPr>
        <w:numPr>
          <w:ilvl w:val="0"/>
          <w:numId w:val="20"/>
        </w:numPr>
      </w:pPr>
      <w:r w:rsidRPr="00B65D0D">
        <w:t xml:space="preserve">Authors retain copyright but grant UCLG ASPAC permission to publish selected papers in </w:t>
      </w:r>
      <w:r w:rsidRPr="00B65D0D">
        <w:rPr>
          <w:b/>
          <w:bCs/>
        </w:rPr>
        <w:t>conference proceedings</w:t>
      </w:r>
      <w:r w:rsidRPr="00B65D0D">
        <w:t xml:space="preserve"> and partner publications.</w:t>
      </w:r>
    </w:p>
    <w:p w14:paraId="215296D2" w14:textId="77777777" w:rsidR="00B65D0D" w:rsidRPr="00B65D0D" w:rsidRDefault="00B65D0D" w:rsidP="00B65D0D">
      <w:pPr>
        <w:numPr>
          <w:ilvl w:val="0"/>
          <w:numId w:val="20"/>
        </w:numPr>
      </w:pPr>
      <w:r w:rsidRPr="00B65D0D">
        <w:t xml:space="preserve">Presenters must attend the Congress in </w:t>
      </w:r>
      <w:r w:rsidRPr="00B65D0D">
        <w:rPr>
          <w:b/>
          <w:bCs/>
        </w:rPr>
        <w:t>Goyang, South Korea</w:t>
      </w:r>
      <w:r w:rsidRPr="00B65D0D">
        <w:t xml:space="preserve"> to present their work.</w:t>
      </w:r>
    </w:p>
    <w:p w14:paraId="08B083D0" w14:textId="45EB87A1" w:rsidR="00B65D0D" w:rsidRDefault="00B65D0D" w:rsidP="004C4198">
      <w:pPr>
        <w:sectPr w:rsidR="00B65D0D">
          <w:pgSz w:w="11906" w:h="16838"/>
          <w:pgMar w:top="1440" w:right="1440" w:bottom="1440" w:left="1440" w:header="708" w:footer="708" w:gutter="0"/>
          <w:cols w:space="708"/>
          <w:docGrid w:linePitch="360"/>
        </w:sectPr>
      </w:pPr>
    </w:p>
    <w:p w14:paraId="54BD6B67" w14:textId="77777777" w:rsidR="004C4198" w:rsidRPr="004C4198" w:rsidRDefault="004C4198" w:rsidP="004C4198">
      <w:pPr>
        <w:pStyle w:val="Heading2"/>
      </w:pPr>
      <w:r w:rsidRPr="004C4198">
        <w:lastRenderedPageBreak/>
        <w:t>Visa Arrangements</w:t>
      </w:r>
    </w:p>
    <w:p w14:paraId="01CE4256" w14:textId="77777777" w:rsidR="004C4198" w:rsidRPr="004C4198" w:rsidRDefault="004C4198" w:rsidP="004C4198">
      <w:r w:rsidRPr="004C4198">
        <w:t xml:space="preserve">UCLG ASPAC will </w:t>
      </w:r>
      <w:r w:rsidRPr="004C4198">
        <w:rPr>
          <w:b/>
          <w:bCs/>
        </w:rPr>
        <w:t>not</w:t>
      </w:r>
      <w:r w:rsidRPr="004C4198">
        <w:t xml:space="preserve"> provide visa assistance for speakers. However, UCLG ASPAC will support administrative matters, such as issuing an </w:t>
      </w:r>
      <w:r w:rsidRPr="004C4198">
        <w:rPr>
          <w:b/>
          <w:bCs/>
        </w:rPr>
        <w:t>invitation letter</w:t>
      </w:r>
      <w:r w:rsidRPr="004C4198">
        <w:t xml:space="preserve"> and </w:t>
      </w:r>
      <w:r w:rsidRPr="004C4198">
        <w:rPr>
          <w:b/>
          <w:bCs/>
        </w:rPr>
        <w:t>acceptance letter</w:t>
      </w:r>
      <w:r w:rsidRPr="004C4198">
        <w:t xml:space="preserve"> for visa application purposes. All costs related to visa arrangements are the sole responsibility of each participant.</w:t>
      </w:r>
    </w:p>
    <w:p w14:paraId="2F60D4A6" w14:textId="77777777" w:rsidR="004C4198" w:rsidRPr="004C4198" w:rsidRDefault="004C4198" w:rsidP="004C4198">
      <w:pPr>
        <w:pStyle w:val="Heading2"/>
      </w:pPr>
      <w:r w:rsidRPr="004C4198">
        <w:t>Accommodation &amp; Travel Support</w:t>
      </w:r>
    </w:p>
    <w:p w14:paraId="30CAB275" w14:textId="77777777" w:rsidR="004C4198" w:rsidRPr="004C4198" w:rsidRDefault="004C4198" w:rsidP="004C4198">
      <w:pPr>
        <w:numPr>
          <w:ilvl w:val="0"/>
          <w:numId w:val="17"/>
        </w:numPr>
      </w:pPr>
      <w:r w:rsidRPr="004C4198">
        <w:t xml:space="preserve">The </w:t>
      </w:r>
      <w:r w:rsidRPr="004C4198">
        <w:rPr>
          <w:b/>
          <w:bCs/>
        </w:rPr>
        <w:t>UCLG ASPAC Congress 2025</w:t>
      </w:r>
      <w:r w:rsidRPr="004C4198">
        <w:t xml:space="preserve"> will be held at </w:t>
      </w:r>
      <w:r w:rsidRPr="004C4198">
        <w:rPr>
          <w:b/>
          <w:bCs/>
        </w:rPr>
        <w:t>KINTEX, Goyang, South Korea</w:t>
      </w:r>
      <w:r w:rsidRPr="004C4198">
        <w:t>.</w:t>
      </w:r>
    </w:p>
    <w:p w14:paraId="6B2CF749" w14:textId="76A2B94B" w:rsidR="004C4198" w:rsidRPr="004C4198" w:rsidRDefault="004C4198" w:rsidP="004C4198">
      <w:pPr>
        <w:numPr>
          <w:ilvl w:val="0"/>
          <w:numId w:val="17"/>
        </w:numPr>
      </w:pPr>
      <w:r w:rsidRPr="004C4198">
        <w:rPr>
          <w:b/>
          <w:bCs/>
        </w:rPr>
        <w:t>One presenter per accepted paper</w:t>
      </w:r>
      <w:r w:rsidRPr="004C4198">
        <w:t xml:space="preserve"> will be granted </w:t>
      </w:r>
      <w:r w:rsidRPr="004C4198">
        <w:rPr>
          <w:b/>
          <w:bCs/>
        </w:rPr>
        <w:t>free registration</w:t>
      </w:r>
      <w:r w:rsidRPr="004C4198">
        <w:t xml:space="preserve"> for the event and will not be required to pay for </w:t>
      </w:r>
      <w:r w:rsidRPr="004C4198">
        <w:rPr>
          <w:b/>
          <w:bCs/>
        </w:rPr>
        <w:t>hotel accommodation or meals</w:t>
      </w:r>
      <w:r w:rsidRPr="004C4198">
        <w:t xml:space="preserve"> during the event (2</w:t>
      </w:r>
      <w:r w:rsidR="00787D87">
        <w:t>5</w:t>
      </w:r>
      <w:r w:rsidRPr="004C4198">
        <w:t>-26 September 2025).</w:t>
      </w:r>
    </w:p>
    <w:p w14:paraId="3717A1FB" w14:textId="77777777" w:rsidR="004C4198" w:rsidRPr="004C4198" w:rsidRDefault="004C4198" w:rsidP="004C4198">
      <w:pPr>
        <w:numPr>
          <w:ilvl w:val="0"/>
          <w:numId w:val="17"/>
        </w:numPr>
      </w:pPr>
      <w:r w:rsidRPr="004C4198">
        <w:t xml:space="preserve">UCLG ASPAC will provide </w:t>
      </w:r>
      <w:r w:rsidRPr="004C4198">
        <w:rPr>
          <w:b/>
          <w:bCs/>
        </w:rPr>
        <w:t>accommodation within Goyang</w:t>
      </w:r>
      <w:r w:rsidRPr="004C4198">
        <w:t xml:space="preserve"> for </w:t>
      </w:r>
      <w:r w:rsidRPr="004C4198">
        <w:rPr>
          <w:b/>
          <w:bCs/>
        </w:rPr>
        <w:t>one presenter per accepted paper</w:t>
      </w:r>
      <w:r w:rsidRPr="004C4198">
        <w:t>.</w:t>
      </w:r>
    </w:p>
    <w:p w14:paraId="20ADFAC5" w14:textId="77777777" w:rsidR="004C4198" w:rsidRPr="004C4198" w:rsidRDefault="004C4198" w:rsidP="004C4198">
      <w:pPr>
        <w:numPr>
          <w:ilvl w:val="0"/>
          <w:numId w:val="17"/>
        </w:numPr>
      </w:pPr>
      <w:r w:rsidRPr="004C4198">
        <w:t xml:space="preserve">UCLG ASPAC </w:t>
      </w:r>
      <w:r w:rsidRPr="004C4198">
        <w:rPr>
          <w:b/>
          <w:bCs/>
        </w:rPr>
        <w:t>will not cover airfare costs</w:t>
      </w:r>
      <w:r w:rsidRPr="004C4198">
        <w:t>. Selected speakers must arrange their own travel expenses or seek external funding from third-party sources.</w:t>
      </w:r>
    </w:p>
    <w:p w14:paraId="4D7A1036" w14:textId="2F9C6A70" w:rsidR="004C4198" w:rsidRPr="004C4198" w:rsidRDefault="004C4198" w:rsidP="004C4198"/>
    <w:p w14:paraId="43524D28" w14:textId="77777777" w:rsidR="004B12F5" w:rsidRPr="004C4198" w:rsidRDefault="004B12F5" w:rsidP="004C4198"/>
    <w:sectPr w:rsidR="004B12F5" w:rsidRPr="004C41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BEE"/>
    <w:multiLevelType w:val="multilevel"/>
    <w:tmpl w:val="498E5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50ECE"/>
    <w:multiLevelType w:val="multilevel"/>
    <w:tmpl w:val="46382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826A5"/>
    <w:multiLevelType w:val="multilevel"/>
    <w:tmpl w:val="6B68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46A92"/>
    <w:multiLevelType w:val="multilevel"/>
    <w:tmpl w:val="45183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27ACD"/>
    <w:multiLevelType w:val="hybridMultilevel"/>
    <w:tmpl w:val="C186DDD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 w15:restartNumberingAfterBreak="0">
    <w:nsid w:val="17CD38F0"/>
    <w:multiLevelType w:val="multilevel"/>
    <w:tmpl w:val="26BC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8E2226"/>
    <w:multiLevelType w:val="hybridMultilevel"/>
    <w:tmpl w:val="61E2A0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39473E5"/>
    <w:multiLevelType w:val="multilevel"/>
    <w:tmpl w:val="EFC0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5D2AFF"/>
    <w:multiLevelType w:val="hybridMultilevel"/>
    <w:tmpl w:val="72A8123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15:restartNumberingAfterBreak="0">
    <w:nsid w:val="37AE56EF"/>
    <w:multiLevelType w:val="hybridMultilevel"/>
    <w:tmpl w:val="AAFE80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D1048D0"/>
    <w:multiLevelType w:val="hybridMultilevel"/>
    <w:tmpl w:val="1F0C67B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4C24463B"/>
    <w:multiLevelType w:val="multilevel"/>
    <w:tmpl w:val="EB3A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33648F"/>
    <w:multiLevelType w:val="multilevel"/>
    <w:tmpl w:val="1CF2F88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52B078E5"/>
    <w:multiLevelType w:val="multilevel"/>
    <w:tmpl w:val="6B34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CB7A23"/>
    <w:multiLevelType w:val="multilevel"/>
    <w:tmpl w:val="B1E2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E4A8E"/>
    <w:multiLevelType w:val="multilevel"/>
    <w:tmpl w:val="DBFE3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75475C"/>
    <w:multiLevelType w:val="multilevel"/>
    <w:tmpl w:val="CA188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CB5598"/>
    <w:multiLevelType w:val="multilevel"/>
    <w:tmpl w:val="0452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36BED"/>
    <w:multiLevelType w:val="multilevel"/>
    <w:tmpl w:val="4B86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6214AF"/>
    <w:multiLevelType w:val="multilevel"/>
    <w:tmpl w:val="5ECE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494094"/>
    <w:multiLevelType w:val="multilevel"/>
    <w:tmpl w:val="7D6A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BA2ECB"/>
    <w:multiLevelType w:val="multilevel"/>
    <w:tmpl w:val="AD7C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0827CA"/>
    <w:multiLevelType w:val="hybridMultilevel"/>
    <w:tmpl w:val="3F8C6C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B176A6D"/>
    <w:multiLevelType w:val="multilevel"/>
    <w:tmpl w:val="4EDCCA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BF1071"/>
    <w:multiLevelType w:val="multilevel"/>
    <w:tmpl w:val="C818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852556"/>
    <w:multiLevelType w:val="multilevel"/>
    <w:tmpl w:val="FF2A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A61D53"/>
    <w:multiLevelType w:val="multilevel"/>
    <w:tmpl w:val="816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644555">
    <w:abstractNumId w:val="20"/>
  </w:num>
  <w:num w:numId="2" w16cid:durableId="575478842">
    <w:abstractNumId w:val="25"/>
  </w:num>
  <w:num w:numId="3" w16cid:durableId="1401637879">
    <w:abstractNumId w:val="5"/>
  </w:num>
  <w:num w:numId="4" w16cid:durableId="1060176318">
    <w:abstractNumId w:val="3"/>
  </w:num>
  <w:num w:numId="5" w16cid:durableId="74133175">
    <w:abstractNumId w:val="24"/>
  </w:num>
  <w:num w:numId="6" w16cid:durableId="2118714625">
    <w:abstractNumId w:val="13"/>
  </w:num>
  <w:num w:numId="7" w16cid:durableId="488907494">
    <w:abstractNumId w:val="7"/>
  </w:num>
  <w:num w:numId="8" w16cid:durableId="1083986195">
    <w:abstractNumId w:val="18"/>
  </w:num>
  <w:num w:numId="9" w16cid:durableId="92097250">
    <w:abstractNumId w:val="1"/>
  </w:num>
  <w:num w:numId="10" w16cid:durableId="388381515">
    <w:abstractNumId w:val="26"/>
  </w:num>
  <w:num w:numId="11" w16cid:durableId="1497960594">
    <w:abstractNumId w:val="16"/>
  </w:num>
  <w:num w:numId="12" w16cid:durableId="482939788">
    <w:abstractNumId w:val="21"/>
  </w:num>
  <w:num w:numId="13" w16cid:durableId="1045176301">
    <w:abstractNumId w:val="14"/>
  </w:num>
  <w:num w:numId="14" w16cid:durableId="1868713548">
    <w:abstractNumId w:val="0"/>
  </w:num>
  <w:num w:numId="15" w16cid:durableId="77144431">
    <w:abstractNumId w:val="19"/>
  </w:num>
  <w:num w:numId="16" w16cid:durableId="1745108915">
    <w:abstractNumId w:val="15"/>
  </w:num>
  <w:num w:numId="17" w16cid:durableId="154105577">
    <w:abstractNumId w:val="17"/>
  </w:num>
  <w:num w:numId="18" w16cid:durableId="2058237256">
    <w:abstractNumId w:val="23"/>
  </w:num>
  <w:num w:numId="19" w16cid:durableId="790781762">
    <w:abstractNumId w:val="9"/>
  </w:num>
  <w:num w:numId="20" w16cid:durableId="1770661833">
    <w:abstractNumId w:val="11"/>
  </w:num>
  <w:num w:numId="21" w16cid:durableId="1247613772">
    <w:abstractNumId w:val="12"/>
  </w:num>
  <w:num w:numId="22" w16cid:durableId="10304176">
    <w:abstractNumId w:val="2"/>
  </w:num>
  <w:num w:numId="23" w16cid:durableId="833840372">
    <w:abstractNumId w:val="10"/>
  </w:num>
  <w:num w:numId="24" w16cid:durableId="920064522">
    <w:abstractNumId w:val="8"/>
  </w:num>
  <w:num w:numId="25" w16cid:durableId="642463243">
    <w:abstractNumId w:val="22"/>
  </w:num>
  <w:num w:numId="26" w16cid:durableId="1792163320">
    <w:abstractNumId w:val="6"/>
  </w:num>
  <w:num w:numId="27" w16cid:durableId="995961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44"/>
    <w:rsid w:val="00025A56"/>
    <w:rsid w:val="00234787"/>
    <w:rsid w:val="003627A2"/>
    <w:rsid w:val="003D69E0"/>
    <w:rsid w:val="00482B4D"/>
    <w:rsid w:val="00483144"/>
    <w:rsid w:val="004B12F5"/>
    <w:rsid w:val="004C4198"/>
    <w:rsid w:val="004D5402"/>
    <w:rsid w:val="00787D87"/>
    <w:rsid w:val="007C3C65"/>
    <w:rsid w:val="008A097C"/>
    <w:rsid w:val="009D3428"/>
    <w:rsid w:val="009F66F7"/>
    <w:rsid w:val="00AB73F4"/>
    <w:rsid w:val="00B65D0D"/>
    <w:rsid w:val="00B75AFE"/>
    <w:rsid w:val="00C07B81"/>
    <w:rsid w:val="00CC44D4"/>
    <w:rsid w:val="00D43419"/>
    <w:rsid w:val="00D859FF"/>
    <w:rsid w:val="00DB05A4"/>
    <w:rsid w:val="00FC43F7"/>
    <w:rsid w:val="00FD5A4C"/>
    <w:rsid w:val="08693E6C"/>
    <w:rsid w:val="09564648"/>
    <w:rsid w:val="0A40F134"/>
    <w:rsid w:val="0B62678E"/>
    <w:rsid w:val="0C56FED4"/>
    <w:rsid w:val="1301BDC2"/>
    <w:rsid w:val="15BB8B90"/>
    <w:rsid w:val="191277D7"/>
    <w:rsid w:val="1CB8DB3A"/>
    <w:rsid w:val="1D2BDE5B"/>
    <w:rsid w:val="1DC91BFD"/>
    <w:rsid w:val="256B0DF9"/>
    <w:rsid w:val="295211CA"/>
    <w:rsid w:val="2CC3ED69"/>
    <w:rsid w:val="2DECB561"/>
    <w:rsid w:val="30D624EE"/>
    <w:rsid w:val="35DA2DBB"/>
    <w:rsid w:val="3977F226"/>
    <w:rsid w:val="3B68FEE5"/>
    <w:rsid w:val="3C390CEC"/>
    <w:rsid w:val="3CB5E645"/>
    <w:rsid w:val="407D6557"/>
    <w:rsid w:val="442A29E7"/>
    <w:rsid w:val="49CF0005"/>
    <w:rsid w:val="4CC78782"/>
    <w:rsid w:val="4E17CB3D"/>
    <w:rsid w:val="51572160"/>
    <w:rsid w:val="5A04217C"/>
    <w:rsid w:val="5BAC16D5"/>
    <w:rsid w:val="5CA9B6B8"/>
    <w:rsid w:val="5E01BBFF"/>
    <w:rsid w:val="5E15C8C3"/>
    <w:rsid w:val="5F171AE6"/>
    <w:rsid w:val="66257AB1"/>
    <w:rsid w:val="6A6D23BD"/>
    <w:rsid w:val="6B2297C8"/>
    <w:rsid w:val="725CEC3A"/>
    <w:rsid w:val="739F0E9E"/>
    <w:rsid w:val="73B00F14"/>
    <w:rsid w:val="7455B2CE"/>
    <w:rsid w:val="749DEC09"/>
    <w:rsid w:val="7885B473"/>
    <w:rsid w:val="796D9BB9"/>
    <w:rsid w:val="79AA3617"/>
    <w:rsid w:val="7C8DB9A5"/>
    <w:rsid w:val="7F81F8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4B56"/>
  <w15:chartTrackingRefBased/>
  <w15:docId w15:val="{CC5E7257-174D-4B25-B7DE-25EF6B24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31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31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31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31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31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3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1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31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31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31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31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3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144"/>
    <w:rPr>
      <w:rFonts w:eastAsiaTheme="majorEastAsia" w:cstheme="majorBidi"/>
      <w:color w:val="272727" w:themeColor="text1" w:themeTint="D8"/>
    </w:rPr>
  </w:style>
  <w:style w:type="paragraph" w:styleId="Title">
    <w:name w:val="Title"/>
    <w:basedOn w:val="Normal"/>
    <w:next w:val="Normal"/>
    <w:link w:val="TitleChar"/>
    <w:uiPriority w:val="10"/>
    <w:qFormat/>
    <w:rsid w:val="00483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144"/>
    <w:pPr>
      <w:spacing w:before="160"/>
      <w:jc w:val="center"/>
    </w:pPr>
    <w:rPr>
      <w:i/>
      <w:iCs/>
      <w:color w:val="404040" w:themeColor="text1" w:themeTint="BF"/>
    </w:rPr>
  </w:style>
  <w:style w:type="character" w:customStyle="1" w:styleId="QuoteChar">
    <w:name w:val="Quote Char"/>
    <w:basedOn w:val="DefaultParagraphFont"/>
    <w:link w:val="Quote"/>
    <w:uiPriority w:val="29"/>
    <w:rsid w:val="00483144"/>
    <w:rPr>
      <w:i/>
      <w:iCs/>
      <w:color w:val="404040" w:themeColor="text1" w:themeTint="BF"/>
    </w:rPr>
  </w:style>
  <w:style w:type="paragraph" w:styleId="ListParagraph">
    <w:name w:val="List Paragraph"/>
    <w:basedOn w:val="Normal"/>
    <w:uiPriority w:val="34"/>
    <w:qFormat/>
    <w:rsid w:val="00483144"/>
    <w:pPr>
      <w:ind w:left="720"/>
      <w:contextualSpacing/>
    </w:pPr>
  </w:style>
  <w:style w:type="character" w:styleId="IntenseEmphasis">
    <w:name w:val="Intense Emphasis"/>
    <w:basedOn w:val="DefaultParagraphFont"/>
    <w:uiPriority w:val="21"/>
    <w:qFormat/>
    <w:rsid w:val="00483144"/>
    <w:rPr>
      <w:i/>
      <w:iCs/>
      <w:color w:val="2F5496" w:themeColor="accent1" w:themeShade="BF"/>
    </w:rPr>
  </w:style>
  <w:style w:type="paragraph" w:styleId="IntenseQuote">
    <w:name w:val="Intense Quote"/>
    <w:basedOn w:val="Normal"/>
    <w:next w:val="Normal"/>
    <w:link w:val="IntenseQuoteChar"/>
    <w:uiPriority w:val="30"/>
    <w:qFormat/>
    <w:rsid w:val="00483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3144"/>
    <w:rPr>
      <w:i/>
      <w:iCs/>
      <w:color w:val="2F5496" w:themeColor="accent1" w:themeShade="BF"/>
    </w:rPr>
  </w:style>
  <w:style w:type="character" w:styleId="IntenseReference">
    <w:name w:val="Intense Reference"/>
    <w:basedOn w:val="DefaultParagraphFont"/>
    <w:uiPriority w:val="32"/>
    <w:qFormat/>
    <w:rsid w:val="00483144"/>
    <w:rPr>
      <w:b/>
      <w:bCs/>
      <w:smallCaps/>
      <w:color w:val="2F5496" w:themeColor="accent1" w:themeShade="BF"/>
      <w:spacing w:val="5"/>
    </w:rPr>
  </w:style>
  <w:style w:type="table" w:styleId="TableGrid">
    <w:name w:val="Table Grid"/>
    <w:basedOn w:val="TableNormal"/>
    <w:uiPriority w:val="39"/>
    <w:rsid w:val="00B65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7B81"/>
    <w:rPr>
      <w:color w:val="0563C1" w:themeColor="hyperlink"/>
      <w:u w:val="single"/>
    </w:rPr>
  </w:style>
  <w:style w:type="character" w:styleId="UnresolvedMention">
    <w:name w:val="Unresolved Mention"/>
    <w:basedOn w:val="DefaultParagraphFont"/>
    <w:uiPriority w:val="99"/>
    <w:semiHidden/>
    <w:unhideWhenUsed/>
    <w:rsid w:val="00C07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64711739">
      <w:bodyDiv w:val="1"/>
      <w:marLeft w:val="0"/>
      <w:marRight w:val="0"/>
      <w:marTop w:val="0"/>
      <w:marBottom w:val="0"/>
      <w:divBdr>
        <w:top w:val="none" w:sz="0" w:space="0" w:color="auto"/>
        <w:left w:val="none" w:sz="0" w:space="0" w:color="auto"/>
        <w:bottom w:val="none" w:sz="0" w:space="0" w:color="auto"/>
        <w:right w:val="none" w:sz="0" w:space="0" w:color="auto"/>
      </w:divBdr>
    </w:div>
    <w:div w:id="259333101">
      <w:bodyDiv w:val="1"/>
      <w:marLeft w:val="0"/>
      <w:marRight w:val="0"/>
      <w:marTop w:val="0"/>
      <w:marBottom w:val="0"/>
      <w:divBdr>
        <w:top w:val="none" w:sz="0" w:space="0" w:color="auto"/>
        <w:left w:val="none" w:sz="0" w:space="0" w:color="auto"/>
        <w:bottom w:val="none" w:sz="0" w:space="0" w:color="auto"/>
        <w:right w:val="none" w:sz="0" w:space="0" w:color="auto"/>
      </w:divBdr>
      <w:divsChild>
        <w:div w:id="90204521">
          <w:marLeft w:val="0"/>
          <w:marRight w:val="0"/>
          <w:marTop w:val="0"/>
          <w:marBottom w:val="0"/>
          <w:divBdr>
            <w:top w:val="none" w:sz="0" w:space="0" w:color="auto"/>
            <w:left w:val="none" w:sz="0" w:space="0" w:color="auto"/>
            <w:bottom w:val="none" w:sz="0" w:space="0" w:color="auto"/>
            <w:right w:val="none" w:sz="0" w:space="0" w:color="auto"/>
          </w:divBdr>
        </w:div>
      </w:divsChild>
    </w:div>
    <w:div w:id="274018836">
      <w:bodyDiv w:val="1"/>
      <w:marLeft w:val="0"/>
      <w:marRight w:val="0"/>
      <w:marTop w:val="0"/>
      <w:marBottom w:val="0"/>
      <w:divBdr>
        <w:top w:val="none" w:sz="0" w:space="0" w:color="auto"/>
        <w:left w:val="none" w:sz="0" w:space="0" w:color="auto"/>
        <w:bottom w:val="none" w:sz="0" w:space="0" w:color="auto"/>
        <w:right w:val="none" w:sz="0" w:space="0" w:color="auto"/>
      </w:divBdr>
    </w:div>
    <w:div w:id="306128816">
      <w:bodyDiv w:val="1"/>
      <w:marLeft w:val="0"/>
      <w:marRight w:val="0"/>
      <w:marTop w:val="0"/>
      <w:marBottom w:val="0"/>
      <w:divBdr>
        <w:top w:val="none" w:sz="0" w:space="0" w:color="auto"/>
        <w:left w:val="none" w:sz="0" w:space="0" w:color="auto"/>
        <w:bottom w:val="none" w:sz="0" w:space="0" w:color="auto"/>
        <w:right w:val="none" w:sz="0" w:space="0" w:color="auto"/>
      </w:divBdr>
    </w:div>
    <w:div w:id="365444627">
      <w:bodyDiv w:val="1"/>
      <w:marLeft w:val="0"/>
      <w:marRight w:val="0"/>
      <w:marTop w:val="0"/>
      <w:marBottom w:val="0"/>
      <w:divBdr>
        <w:top w:val="none" w:sz="0" w:space="0" w:color="auto"/>
        <w:left w:val="none" w:sz="0" w:space="0" w:color="auto"/>
        <w:bottom w:val="none" w:sz="0" w:space="0" w:color="auto"/>
        <w:right w:val="none" w:sz="0" w:space="0" w:color="auto"/>
      </w:divBdr>
    </w:div>
    <w:div w:id="593708178">
      <w:bodyDiv w:val="1"/>
      <w:marLeft w:val="0"/>
      <w:marRight w:val="0"/>
      <w:marTop w:val="0"/>
      <w:marBottom w:val="0"/>
      <w:divBdr>
        <w:top w:val="none" w:sz="0" w:space="0" w:color="auto"/>
        <w:left w:val="none" w:sz="0" w:space="0" w:color="auto"/>
        <w:bottom w:val="none" w:sz="0" w:space="0" w:color="auto"/>
        <w:right w:val="none" w:sz="0" w:space="0" w:color="auto"/>
      </w:divBdr>
    </w:div>
    <w:div w:id="754322345">
      <w:bodyDiv w:val="1"/>
      <w:marLeft w:val="0"/>
      <w:marRight w:val="0"/>
      <w:marTop w:val="0"/>
      <w:marBottom w:val="0"/>
      <w:divBdr>
        <w:top w:val="none" w:sz="0" w:space="0" w:color="auto"/>
        <w:left w:val="none" w:sz="0" w:space="0" w:color="auto"/>
        <w:bottom w:val="none" w:sz="0" w:space="0" w:color="auto"/>
        <w:right w:val="none" w:sz="0" w:space="0" w:color="auto"/>
      </w:divBdr>
      <w:divsChild>
        <w:div w:id="892666091">
          <w:marLeft w:val="0"/>
          <w:marRight w:val="0"/>
          <w:marTop w:val="0"/>
          <w:marBottom w:val="0"/>
          <w:divBdr>
            <w:top w:val="none" w:sz="0" w:space="0" w:color="auto"/>
            <w:left w:val="none" w:sz="0" w:space="0" w:color="auto"/>
            <w:bottom w:val="none" w:sz="0" w:space="0" w:color="auto"/>
            <w:right w:val="none" w:sz="0" w:space="0" w:color="auto"/>
          </w:divBdr>
        </w:div>
      </w:divsChild>
    </w:div>
    <w:div w:id="854615002">
      <w:bodyDiv w:val="1"/>
      <w:marLeft w:val="0"/>
      <w:marRight w:val="0"/>
      <w:marTop w:val="0"/>
      <w:marBottom w:val="0"/>
      <w:divBdr>
        <w:top w:val="none" w:sz="0" w:space="0" w:color="auto"/>
        <w:left w:val="none" w:sz="0" w:space="0" w:color="auto"/>
        <w:bottom w:val="none" w:sz="0" w:space="0" w:color="auto"/>
        <w:right w:val="none" w:sz="0" w:space="0" w:color="auto"/>
      </w:divBdr>
    </w:div>
    <w:div w:id="925650008">
      <w:bodyDiv w:val="1"/>
      <w:marLeft w:val="0"/>
      <w:marRight w:val="0"/>
      <w:marTop w:val="0"/>
      <w:marBottom w:val="0"/>
      <w:divBdr>
        <w:top w:val="none" w:sz="0" w:space="0" w:color="auto"/>
        <w:left w:val="none" w:sz="0" w:space="0" w:color="auto"/>
        <w:bottom w:val="none" w:sz="0" w:space="0" w:color="auto"/>
        <w:right w:val="none" w:sz="0" w:space="0" w:color="auto"/>
      </w:divBdr>
    </w:div>
    <w:div w:id="1432360412">
      <w:bodyDiv w:val="1"/>
      <w:marLeft w:val="0"/>
      <w:marRight w:val="0"/>
      <w:marTop w:val="0"/>
      <w:marBottom w:val="0"/>
      <w:divBdr>
        <w:top w:val="none" w:sz="0" w:space="0" w:color="auto"/>
        <w:left w:val="none" w:sz="0" w:space="0" w:color="auto"/>
        <w:bottom w:val="none" w:sz="0" w:space="0" w:color="auto"/>
        <w:right w:val="none" w:sz="0" w:space="0" w:color="auto"/>
      </w:divBdr>
    </w:div>
    <w:div w:id="1544757487">
      <w:bodyDiv w:val="1"/>
      <w:marLeft w:val="0"/>
      <w:marRight w:val="0"/>
      <w:marTop w:val="0"/>
      <w:marBottom w:val="0"/>
      <w:divBdr>
        <w:top w:val="none" w:sz="0" w:space="0" w:color="auto"/>
        <w:left w:val="none" w:sz="0" w:space="0" w:color="auto"/>
        <w:bottom w:val="none" w:sz="0" w:space="0" w:color="auto"/>
        <w:right w:val="none" w:sz="0" w:space="0" w:color="auto"/>
      </w:divBdr>
    </w:div>
    <w:div w:id="1646543510">
      <w:bodyDiv w:val="1"/>
      <w:marLeft w:val="0"/>
      <w:marRight w:val="0"/>
      <w:marTop w:val="0"/>
      <w:marBottom w:val="0"/>
      <w:divBdr>
        <w:top w:val="none" w:sz="0" w:space="0" w:color="auto"/>
        <w:left w:val="none" w:sz="0" w:space="0" w:color="auto"/>
        <w:bottom w:val="none" w:sz="0" w:space="0" w:color="auto"/>
        <w:right w:val="none" w:sz="0" w:space="0" w:color="auto"/>
      </w:divBdr>
    </w:div>
    <w:div w:id="1820997639">
      <w:bodyDiv w:val="1"/>
      <w:marLeft w:val="0"/>
      <w:marRight w:val="0"/>
      <w:marTop w:val="0"/>
      <w:marBottom w:val="0"/>
      <w:divBdr>
        <w:top w:val="none" w:sz="0" w:space="0" w:color="auto"/>
        <w:left w:val="none" w:sz="0" w:space="0" w:color="auto"/>
        <w:bottom w:val="none" w:sz="0" w:space="0" w:color="auto"/>
        <w:right w:val="none" w:sz="0" w:space="0" w:color="auto"/>
      </w:divBdr>
      <w:divsChild>
        <w:div w:id="18968827">
          <w:marLeft w:val="0"/>
          <w:marRight w:val="0"/>
          <w:marTop w:val="0"/>
          <w:marBottom w:val="0"/>
          <w:divBdr>
            <w:top w:val="none" w:sz="0" w:space="0" w:color="auto"/>
            <w:left w:val="none" w:sz="0" w:space="0" w:color="auto"/>
            <w:bottom w:val="none" w:sz="0" w:space="0" w:color="auto"/>
            <w:right w:val="none" w:sz="0" w:space="0" w:color="auto"/>
          </w:divBdr>
        </w:div>
      </w:divsChild>
    </w:div>
    <w:div w:id="2108891308">
      <w:bodyDiv w:val="1"/>
      <w:marLeft w:val="0"/>
      <w:marRight w:val="0"/>
      <w:marTop w:val="0"/>
      <w:marBottom w:val="0"/>
      <w:divBdr>
        <w:top w:val="none" w:sz="0" w:space="0" w:color="auto"/>
        <w:left w:val="none" w:sz="0" w:space="0" w:color="auto"/>
        <w:bottom w:val="none" w:sz="0" w:space="0" w:color="auto"/>
        <w:right w:val="none" w:sz="0" w:space="0" w:color="auto"/>
      </w:divBdr>
      <w:divsChild>
        <w:div w:id="285086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oyang2025.uclg-aspac.kr/en/how-to-regis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r/CFP2025-Congress" TargetMode="External"/><Relationship Id="rId5" Type="http://schemas.openxmlformats.org/officeDocument/2006/relationships/styles" Target="styles.xml"/><Relationship Id="rId10" Type="http://schemas.openxmlformats.org/officeDocument/2006/relationships/hyperlink" Target="agung.zulhatta@uclg-aspac.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5b3294-b15a-49a4-8b71-ef1955c87fb3" xsi:nil="true"/>
    <lcf76f155ced4ddcb4097134ff3c332f xmlns="dd814571-a506-4e0c-822b-93dbeebcc3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CD7125D59D6B44AFFA667CC0F65EDB" ma:contentTypeVersion="11" ma:contentTypeDescription="Create a new document." ma:contentTypeScope="" ma:versionID="955d9d13acc615cf18811522df3e9d75">
  <xsd:schema xmlns:xsd="http://www.w3.org/2001/XMLSchema" xmlns:xs="http://www.w3.org/2001/XMLSchema" xmlns:p="http://schemas.microsoft.com/office/2006/metadata/properties" xmlns:ns2="dd814571-a506-4e0c-822b-93dbeebcc356" xmlns:ns3="ca5b3294-b15a-49a4-8b71-ef1955c87fb3" targetNamespace="http://schemas.microsoft.com/office/2006/metadata/properties" ma:root="true" ma:fieldsID="cefb15da7a29a39db84d2f4a9f4f84eb" ns2:_="" ns3:_="">
    <xsd:import namespace="dd814571-a506-4e0c-822b-93dbeebcc356"/>
    <xsd:import namespace="ca5b3294-b15a-49a4-8b71-ef1955c87f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14571-a506-4e0c-822b-93dbeebcc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7f849f-d3c1-49fb-8ff8-1f71cbabf4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b3294-b15a-49a4-8b71-ef1955c87f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ecaa00-0069-407b-ad51-3ec22ae8288b}" ma:internalName="TaxCatchAll" ma:showField="CatchAllData" ma:web="ca5b3294-b15a-49a4-8b71-ef1955c87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1FE2E-F498-4637-BBBD-CB09F0ABE55D}">
  <ds:schemaRefs>
    <ds:schemaRef ds:uri="http://schemas.microsoft.com/sharepoint/v3/contenttype/forms"/>
  </ds:schemaRefs>
</ds:datastoreItem>
</file>

<file path=customXml/itemProps2.xml><?xml version="1.0" encoding="utf-8"?>
<ds:datastoreItem xmlns:ds="http://schemas.openxmlformats.org/officeDocument/2006/customXml" ds:itemID="{98CEFD41-7705-47F5-852D-EB26CC284F5E}">
  <ds:schemaRefs>
    <ds:schemaRef ds:uri="http://schemas.microsoft.com/office/2006/metadata/properties"/>
    <ds:schemaRef ds:uri="http://schemas.microsoft.com/office/infopath/2007/PartnerControls"/>
    <ds:schemaRef ds:uri="ca5b3294-b15a-49a4-8b71-ef1955c87fb3"/>
    <ds:schemaRef ds:uri="dd814571-a506-4e0c-822b-93dbeebcc356"/>
  </ds:schemaRefs>
</ds:datastoreItem>
</file>

<file path=customXml/itemProps3.xml><?xml version="1.0" encoding="utf-8"?>
<ds:datastoreItem xmlns:ds="http://schemas.openxmlformats.org/officeDocument/2006/customXml" ds:itemID="{45D08DB0-F875-4BE4-9FE3-38903D184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14571-a506-4e0c-822b-93dbeebcc356"/>
    <ds:schemaRef ds:uri="ca5b3294-b15a-49a4-8b71-ef1955c87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1649</Words>
  <Characters>9404</Characters>
  <Application>Microsoft Office Word</Application>
  <DocSecurity>0</DocSecurity>
  <Lines>78</Lines>
  <Paragraphs>22</Paragraphs>
  <ScaleCrop>false</ScaleCrop>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Agung Zulhatta</dc:creator>
  <cp:keywords/>
  <dc:description/>
  <cp:lastModifiedBy>Mahessa Ardika</cp:lastModifiedBy>
  <cp:revision>16</cp:revision>
  <dcterms:created xsi:type="dcterms:W3CDTF">2025-03-19T03:43:00Z</dcterms:created>
  <dcterms:modified xsi:type="dcterms:W3CDTF">2025-06-30T06:26:00Z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0x01010082CD7125D59D6B44AFFA667CC0F65EDB</vt:lpwstr>
  </property>
  <property fmtid="{D5CDD505-2E9C-101B-9397-08002B2CF9AE}" pid="3" name="MediaServiceImageTags">
    <vt:lpwstr/>
  </property>
</Properties>
</file>